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D6" w:rsidRPr="00502E72" w:rsidRDefault="00502E72" w:rsidP="00502E72">
      <w:pPr>
        <w:spacing w:before="200" w:after="120" w:line="276" w:lineRule="auto"/>
        <w:jc w:val="center"/>
        <w:rPr>
          <w:rFonts w:ascii="Arial" w:eastAsia="Calibri" w:hAnsi="Arial" w:cs="Arial"/>
          <w:b/>
          <w:lang w:val="es-ES"/>
        </w:rPr>
      </w:pPr>
      <w:r w:rsidRPr="00502E72">
        <w:rPr>
          <w:rFonts w:ascii="Arial" w:eastAsia="Calibri" w:hAnsi="Arial" w:cs="Arial"/>
          <w:b/>
          <w:lang w:val="es-ES"/>
        </w:rPr>
        <w:t>MODIFICACIONES A LA ORGANIZACIÓN ADMINISTRATIVA</w:t>
      </w:r>
      <w:r w:rsidR="00457AD6" w:rsidRPr="00502E72">
        <w:rPr>
          <w:rStyle w:val="Refdenotaalpie"/>
          <w:rFonts w:ascii="Arial" w:eastAsia="Calibri" w:hAnsi="Arial" w:cs="Arial"/>
          <w:b/>
          <w:lang w:val="es-ES"/>
        </w:rPr>
        <w:footnoteReference w:id="1"/>
      </w:r>
    </w:p>
    <w:p w:rsidR="00EC00CD" w:rsidRPr="00EC00CD" w:rsidRDefault="00502E72" w:rsidP="000E34AE">
      <w:pPr>
        <w:spacing w:before="200" w:after="120" w:line="276" w:lineRule="auto"/>
        <w:jc w:val="both"/>
        <w:rPr>
          <w:rFonts w:ascii="Arial" w:eastAsia="Calibri" w:hAnsi="Arial" w:cs="Arial"/>
          <w:b/>
          <w:lang w:val="es-ES"/>
        </w:rPr>
      </w:pPr>
      <w:r>
        <w:rPr>
          <w:rFonts w:ascii="Arial" w:eastAsia="Calibri" w:hAnsi="Arial" w:cs="Arial"/>
          <w:b/>
          <w:lang w:val="es-ES"/>
        </w:rPr>
        <w:t>Introducción</w:t>
      </w:r>
    </w:p>
    <w:p w:rsidR="000E34AE" w:rsidRDefault="000E34AE" w:rsidP="004E62A8">
      <w:pPr>
        <w:spacing w:before="200" w:after="120" w:line="276" w:lineRule="auto"/>
        <w:jc w:val="both"/>
        <w:rPr>
          <w:rFonts w:ascii="Arial" w:eastAsia="Calibri" w:hAnsi="Arial" w:cs="Arial"/>
          <w:lang w:val="es-ES"/>
        </w:rPr>
      </w:pPr>
      <w:r>
        <w:rPr>
          <w:rFonts w:ascii="Arial" w:eastAsia="Calibri" w:hAnsi="Arial" w:cs="Arial"/>
          <w:lang w:val="es-ES"/>
        </w:rPr>
        <w:t xml:space="preserve">El Poder Ejecutivo </w:t>
      </w:r>
      <w:r w:rsidRPr="00457AD6">
        <w:rPr>
          <w:rFonts w:ascii="Arial" w:eastAsia="Calibri" w:hAnsi="Arial" w:cs="Arial"/>
          <w:lang w:val="es-ES"/>
        </w:rPr>
        <w:t xml:space="preserve">de la gestión </w:t>
      </w:r>
      <w:r>
        <w:rPr>
          <w:rFonts w:ascii="Arial" w:eastAsia="Calibri" w:hAnsi="Arial" w:cs="Arial"/>
          <w:lang w:val="es-ES"/>
        </w:rPr>
        <w:t>anterior, sobre el final de su mandato,</w:t>
      </w:r>
      <w:r w:rsidRPr="00457AD6">
        <w:rPr>
          <w:rFonts w:ascii="Arial" w:eastAsia="Calibri" w:hAnsi="Arial" w:cs="Arial"/>
          <w:lang w:val="es-ES"/>
        </w:rPr>
        <w:t xml:space="preserve"> en el año 2015</w:t>
      </w:r>
      <w:r>
        <w:rPr>
          <w:rFonts w:ascii="Arial" w:eastAsia="Calibri" w:hAnsi="Arial" w:cs="Arial"/>
          <w:lang w:val="es-ES"/>
        </w:rPr>
        <w:t xml:space="preserve">, se organizó según la Ley Nº 13.757 y modificatorias, </w:t>
      </w:r>
      <w:r w:rsidRPr="000E34AE">
        <w:rPr>
          <w:rFonts w:ascii="Arial" w:eastAsia="Calibri" w:hAnsi="Arial" w:cs="Arial"/>
          <w:lang w:val="es-ES"/>
        </w:rPr>
        <w:t>en once Ministerios</w:t>
      </w:r>
      <w:r w:rsidRPr="000E34AE">
        <w:rPr>
          <w:rFonts w:ascii="Arial" w:eastAsia="Calibri" w:hAnsi="Arial" w:cs="Arial"/>
          <w:vertAlign w:val="superscript"/>
          <w:lang w:val="es-ES"/>
        </w:rPr>
        <w:footnoteReference w:id="2"/>
      </w:r>
      <w:r w:rsidRPr="000E34AE">
        <w:rPr>
          <w:rFonts w:ascii="Arial" w:eastAsia="Calibri" w:hAnsi="Arial" w:cs="Arial"/>
          <w:lang w:val="es-ES"/>
        </w:rPr>
        <w:t>, once Secretarías</w:t>
      </w:r>
      <w:r w:rsidRPr="000E34AE">
        <w:rPr>
          <w:rFonts w:ascii="Arial" w:eastAsia="Calibri" w:hAnsi="Arial" w:cs="Arial"/>
          <w:vertAlign w:val="superscript"/>
          <w:lang w:val="es-ES"/>
        </w:rPr>
        <w:footnoteReference w:id="3"/>
      </w:r>
      <w:r>
        <w:rPr>
          <w:rFonts w:ascii="Arial" w:eastAsia="Calibri" w:hAnsi="Arial" w:cs="Arial"/>
          <w:lang w:val="es-ES"/>
        </w:rPr>
        <w:t>. Incluyó además a</w:t>
      </w:r>
      <w:r w:rsidRPr="000E34AE">
        <w:rPr>
          <w:rFonts w:ascii="Arial" w:eastAsia="Calibri" w:hAnsi="Arial" w:cs="Arial"/>
          <w:lang w:val="es-ES"/>
        </w:rPr>
        <w:t xml:space="preserve"> la Asesoría General de Gobierno</w:t>
      </w:r>
      <w:r>
        <w:rPr>
          <w:rFonts w:ascii="Arial" w:eastAsia="Calibri" w:hAnsi="Arial" w:cs="Arial"/>
          <w:lang w:val="es-ES"/>
        </w:rPr>
        <w:t xml:space="preserve">, y a los entes descentralizados </w:t>
      </w:r>
      <w:r w:rsidRPr="000E34AE">
        <w:rPr>
          <w:rFonts w:ascii="Arial" w:eastAsia="Calibri" w:hAnsi="Arial" w:cs="Arial"/>
          <w:lang w:val="es-ES"/>
        </w:rPr>
        <w:t xml:space="preserve">Organismo Provincial </w:t>
      </w:r>
      <w:r>
        <w:rPr>
          <w:rFonts w:ascii="Arial" w:eastAsia="Calibri" w:hAnsi="Arial" w:cs="Arial"/>
          <w:lang w:val="es-ES"/>
        </w:rPr>
        <w:t>p</w:t>
      </w:r>
      <w:r w:rsidRPr="000E34AE">
        <w:rPr>
          <w:rFonts w:ascii="Arial" w:eastAsia="Calibri" w:hAnsi="Arial" w:cs="Arial"/>
          <w:lang w:val="es-ES"/>
        </w:rPr>
        <w:t xml:space="preserve">ara </w:t>
      </w:r>
      <w:r>
        <w:rPr>
          <w:rFonts w:ascii="Arial" w:eastAsia="Calibri" w:hAnsi="Arial" w:cs="Arial"/>
          <w:lang w:val="es-ES"/>
        </w:rPr>
        <w:t>e</w:t>
      </w:r>
      <w:r w:rsidRPr="000E34AE">
        <w:rPr>
          <w:rFonts w:ascii="Arial" w:eastAsia="Calibri" w:hAnsi="Arial" w:cs="Arial"/>
          <w:lang w:val="es-ES"/>
        </w:rPr>
        <w:t>l Desarrollo Sostenible</w:t>
      </w:r>
      <w:r>
        <w:rPr>
          <w:rFonts w:ascii="Arial" w:eastAsia="Calibri" w:hAnsi="Arial" w:cs="Arial"/>
          <w:lang w:val="es-ES"/>
        </w:rPr>
        <w:t xml:space="preserve"> (OPDS), </w:t>
      </w:r>
      <w:r w:rsidRPr="000E34AE">
        <w:rPr>
          <w:rFonts w:ascii="Arial" w:eastAsia="Calibri" w:hAnsi="Arial" w:cs="Arial"/>
          <w:lang w:val="es-ES"/>
        </w:rPr>
        <w:t xml:space="preserve">Instituto Cultural </w:t>
      </w:r>
      <w:r>
        <w:rPr>
          <w:rFonts w:ascii="Arial" w:eastAsia="Calibri" w:hAnsi="Arial" w:cs="Arial"/>
          <w:lang w:val="es-ES"/>
        </w:rPr>
        <w:t>d</w:t>
      </w:r>
      <w:r w:rsidRPr="000E34AE">
        <w:rPr>
          <w:rFonts w:ascii="Arial" w:eastAsia="Calibri" w:hAnsi="Arial" w:cs="Arial"/>
          <w:lang w:val="es-ES"/>
        </w:rPr>
        <w:t xml:space="preserve">e </w:t>
      </w:r>
      <w:r>
        <w:rPr>
          <w:rFonts w:ascii="Arial" w:eastAsia="Calibri" w:hAnsi="Arial" w:cs="Arial"/>
          <w:lang w:val="es-ES"/>
        </w:rPr>
        <w:t>l</w:t>
      </w:r>
      <w:r w:rsidRPr="000E34AE">
        <w:rPr>
          <w:rFonts w:ascii="Arial" w:eastAsia="Calibri" w:hAnsi="Arial" w:cs="Arial"/>
          <w:lang w:val="es-ES"/>
        </w:rPr>
        <w:t xml:space="preserve">a Provincia </w:t>
      </w:r>
      <w:r>
        <w:rPr>
          <w:rFonts w:ascii="Arial" w:eastAsia="Calibri" w:hAnsi="Arial" w:cs="Arial"/>
          <w:lang w:val="es-ES"/>
        </w:rPr>
        <w:t>d</w:t>
      </w:r>
      <w:r w:rsidRPr="000E34AE">
        <w:rPr>
          <w:rFonts w:ascii="Arial" w:eastAsia="Calibri" w:hAnsi="Arial" w:cs="Arial"/>
          <w:lang w:val="es-ES"/>
        </w:rPr>
        <w:t>e Buenos Aires</w:t>
      </w:r>
      <w:r>
        <w:rPr>
          <w:rFonts w:ascii="Arial" w:eastAsia="Calibri" w:hAnsi="Arial" w:cs="Arial"/>
          <w:lang w:val="es-ES"/>
        </w:rPr>
        <w:t xml:space="preserve"> y </w:t>
      </w:r>
      <w:r w:rsidRPr="000E34AE">
        <w:rPr>
          <w:rFonts w:ascii="Arial" w:eastAsia="Calibri" w:hAnsi="Arial" w:cs="Arial"/>
          <w:lang w:val="es-ES"/>
        </w:rPr>
        <w:t>Comisión</w:t>
      </w:r>
      <w:r>
        <w:rPr>
          <w:rFonts w:ascii="Arial" w:eastAsia="Calibri" w:hAnsi="Arial" w:cs="Arial"/>
          <w:lang w:val="es-ES"/>
        </w:rPr>
        <w:t xml:space="preserve"> de Investigaciones Científicas d</w:t>
      </w:r>
      <w:r w:rsidRPr="000E34AE">
        <w:rPr>
          <w:rFonts w:ascii="Arial" w:eastAsia="Calibri" w:hAnsi="Arial" w:cs="Arial"/>
          <w:lang w:val="es-ES"/>
        </w:rPr>
        <w:t xml:space="preserve">e </w:t>
      </w:r>
      <w:r>
        <w:rPr>
          <w:rFonts w:ascii="Arial" w:eastAsia="Calibri" w:hAnsi="Arial" w:cs="Arial"/>
          <w:lang w:val="es-ES"/>
        </w:rPr>
        <w:t>l</w:t>
      </w:r>
      <w:r w:rsidRPr="000E34AE">
        <w:rPr>
          <w:rFonts w:ascii="Arial" w:eastAsia="Calibri" w:hAnsi="Arial" w:cs="Arial"/>
          <w:lang w:val="es-ES"/>
        </w:rPr>
        <w:t>a Provincia De Buenos Aires</w:t>
      </w:r>
      <w:r>
        <w:rPr>
          <w:rFonts w:ascii="Arial" w:eastAsia="Calibri" w:hAnsi="Arial" w:cs="Arial"/>
          <w:lang w:val="es-ES"/>
        </w:rPr>
        <w:t>.</w:t>
      </w:r>
      <w:r w:rsidR="00EC00CD">
        <w:rPr>
          <w:rFonts w:ascii="Arial" w:eastAsia="Calibri" w:hAnsi="Arial" w:cs="Arial"/>
          <w:lang w:val="es-ES"/>
        </w:rPr>
        <w:t xml:space="preserve"> Cabe destacar que los restantes entes descentralizados fueron creados por Leyes específicas y mantuvieron su vigencia la margen de la Ley de Ministerios y sus modificaciones.</w:t>
      </w:r>
    </w:p>
    <w:p w:rsidR="003307B3" w:rsidRPr="00CF2E74" w:rsidRDefault="00502E72" w:rsidP="00CF2E74">
      <w:pPr>
        <w:spacing w:before="200" w:after="120" w:line="276" w:lineRule="auto"/>
        <w:jc w:val="both"/>
        <w:rPr>
          <w:rFonts w:ascii="Arial" w:eastAsia="Calibri" w:hAnsi="Arial" w:cs="Arial"/>
          <w:b/>
          <w:lang w:val="es-ES"/>
        </w:rPr>
      </w:pPr>
      <w:r>
        <w:rPr>
          <w:rFonts w:ascii="Arial" w:eastAsia="Calibri" w:hAnsi="Arial" w:cs="Arial"/>
          <w:b/>
          <w:lang w:val="es-ES"/>
        </w:rPr>
        <w:t>M</w:t>
      </w:r>
      <w:r w:rsidR="00CF2E74" w:rsidRPr="00CF2E74">
        <w:rPr>
          <w:rFonts w:ascii="Arial" w:eastAsia="Calibri" w:hAnsi="Arial" w:cs="Arial"/>
          <w:b/>
          <w:lang w:val="es-ES"/>
        </w:rPr>
        <w:t>odificaciones</w:t>
      </w:r>
      <w:r w:rsidR="0024346D">
        <w:rPr>
          <w:rFonts w:ascii="Arial" w:eastAsia="Calibri" w:hAnsi="Arial" w:cs="Arial"/>
          <w:b/>
          <w:lang w:val="es-ES"/>
        </w:rPr>
        <w:t xml:space="preserve"> </w:t>
      </w:r>
      <w:r>
        <w:rPr>
          <w:rFonts w:ascii="Arial" w:eastAsia="Calibri" w:hAnsi="Arial" w:cs="Arial"/>
          <w:b/>
          <w:lang w:val="es-ES"/>
        </w:rPr>
        <w:t xml:space="preserve">estructurales durante </w:t>
      </w:r>
      <w:r w:rsidR="00CF2E74" w:rsidRPr="00CF2E74">
        <w:rPr>
          <w:rFonts w:ascii="Arial" w:eastAsia="Calibri" w:hAnsi="Arial" w:cs="Arial"/>
          <w:b/>
          <w:lang w:val="es-ES"/>
        </w:rPr>
        <w:t xml:space="preserve">la Administración actual: </w:t>
      </w:r>
      <w:r w:rsidR="003307B3" w:rsidRPr="00CF2E74">
        <w:rPr>
          <w:rFonts w:ascii="Arial" w:eastAsia="Calibri" w:hAnsi="Arial" w:cs="Arial"/>
          <w:b/>
          <w:lang w:val="es-ES"/>
        </w:rPr>
        <w:t xml:space="preserve">Leyes Nº 14803, 14805, </w:t>
      </w:r>
      <w:r w:rsidR="00CF2E74" w:rsidRPr="00CF2E74">
        <w:rPr>
          <w:rFonts w:ascii="Arial" w:eastAsia="Calibri" w:hAnsi="Arial" w:cs="Arial"/>
          <w:b/>
          <w:lang w:val="es-ES"/>
        </w:rPr>
        <w:t>14832, 14853, 14989</w:t>
      </w:r>
      <w:r w:rsidR="0024346D">
        <w:rPr>
          <w:rFonts w:ascii="Arial" w:eastAsia="Calibri" w:hAnsi="Arial" w:cs="Arial"/>
          <w:b/>
          <w:lang w:val="es-ES"/>
        </w:rPr>
        <w:t>.</w:t>
      </w:r>
    </w:p>
    <w:p w:rsidR="003307B3" w:rsidRPr="00502E72" w:rsidRDefault="00502E72" w:rsidP="00CF2E74">
      <w:pPr>
        <w:spacing w:before="200" w:after="120" w:line="276" w:lineRule="auto"/>
        <w:jc w:val="both"/>
        <w:rPr>
          <w:rFonts w:ascii="Arial" w:eastAsia="Calibri" w:hAnsi="Arial" w:cs="Arial"/>
          <w:lang w:val="es-ES"/>
        </w:rPr>
      </w:pPr>
      <w:r w:rsidRPr="00502E72">
        <w:rPr>
          <w:rFonts w:ascii="Arial" w:eastAsia="Calibri" w:hAnsi="Arial" w:cs="Arial"/>
          <w:lang w:val="es-ES"/>
        </w:rPr>
        <w:t xml:space="preserve">La actual gestión realizó 5 modificaciones de la ley de ministerio en dos años (12/2015 a 12/2017). Esto produjo modificaciones en las desagregaciones aprobadas por decreto administrativo. Estos cambios sucesivos se presentan a continuación. </w:t>
      </w:r>
    </w:p>
    <w:p w:rsidR="003307B3" w:rsidRDefault="00457AD6" w:rsidP="00CF2E74">
      <w:pPr>
        <w:pStyle w:val="Prrafodelista"/>
        <w:numPr>
          <w:ilvl w:val="0"/>
          <w:numId w:val="4"/>
        </w:numPr>
        <w:spacing w:before="200" w:after="120" w:line="276" w:lineRule="auto"/>
        <w:jc w:val="both"/>
        <w:rPr>
          <w:rFonts w:ascii="Arial" w:eastAsia="Calibri" w:hAnsi="Arial" w:cs="Arial"/>
          <w:lang w:val="es-ES"/>
        </w:rPr>
      </w:pPr>
      <w:r w:rsidRPr="00CF2E74">
        <w:rPr>
          <w:rFonts w:ascii="Arial" w:eastAsia="Calibri" w:hAnsi="Arial" w:cs="Arial"/>
          <w:b/>
          <w:lang w:val="es-ES"/>
        </w:rPr>
        <w:t>Ley Nº 14.803 y sus modificaciones</w:t>
      </w:r>
      <w:r w:rsidR="003307B3" w:rsidRPr="00CF2E74">
        <w:rPr>
          <w:rFonts w:ascii="Arial" w:eastAsia="Calibri" w:hAnsi="Arial" w:cs="Arial"/>
          <w:b/>
          <w:lang w:val="es-ES"/>
        </w:rPr>
        <w:t xml:space="preserve"> (</w:t>
      </w:r>
      <w:r w:rsidRPr="00CF2E74">
        <w:rPr>
          <w:rFonts w:ascii="Arial" w:eastAsia="Calibri" w:hAnsi="Arial" w:cs="Arial"/>
          <w:lang w:val="es-ES"/>
        </w:rPr>
        <w:t>10</w:t>
      </w:r>
      <w:r w:rsidR="003307B3" w:rsidRPr="00CF2E74">
        <w:rPr>
          <w:rFonts w:ascii="Arial" w:eastAsia="Calibri" w:hAnsi="Arial" w:cs="Arial"/>
          <w:lang w:val="es-ES"/>
        </w:rPr>
        <w:t>/12/</w:t>
      </w:r>
      <w:r w:rsidRPr="00CF2E74">
        <w:rPr>
          <w:rFonts w:ascii="Arial" w:eastAsia="Calibri" w:hAnsi="Arial" w:cs="Arial"/>
          <w:lang w:val="es-ES"/>
        </w:rPr>
        <w:t>2015</w:t>
      </w:r>
      <w:r w:rsidRPr="00457AD6">
        <w:rPr>
          <w:vertAlign w:val="superscript"/>
          <w:lang w:val="es-ES"/>
        </w:rPr>
        <w:footnoteReference w:id="4"/>
      </w:r>
      <w:r w:rsidR="003307B3" w:rsidRPr="00CF2E74">
        <w:rPr>
          <w:rFonts w:ascii="Arial" w:eastAsia="Calibri" w:hAnsi="Arial" w:cs="Arial"/>
          <w:lang w:val="es-ES"/>
        </w:rPr>
        <w:t>)</w:t>
      </w:r>
      <w:r w:rsidRPr="00CF2E74">
        <w:rPr>
          <w:rFonts w:ascii="Arial" w:eastAsia="Calibri" w:hAnsi="Arial" w:cs="Arial"/>
          <w:lang w:val="es-ES"/>
        </w:rPr>
        <w:t xml:space="preserve">. </w:t>
      </w:r>
    </w:p>
    <w:p w:rsidR="00CF2E74" w:rsidRPr="00CF2E74" w:rsidRDefault="00CF2E74" w:rsidP="00CF2E74">
      <w:pPr>
        <w:pStyle w:val="Prrafodelista"/>
        <w:spacing w:before="200" w:after="120" w:line="276" w:lineRule="auto"/>
        <w:jc w:val="both"/>
        <w:rPr>
          <w:rFonts w:ascii="Arial" w:eastAsia="Calibri" w:hAnsi="Arial" w:cs="Arial"/>
          <w:lang w:val="es-ES"/>
        </w:rPr>
      </w:pPr>
    </w:p>
    <w:p w:rsidR="00503938" w:rsidRDefault="00503938" w:rsidP="00CF2E74">
      <w:pPr>
        <w:pStyle w:val="Prrafodelista"/>
        <w:numPr>
          <w:ilvl w:val="0"/>
          <w:numId w:val="5"/>
        </w:numPr>
        <w:spacing w:before="200" w:after="120" w:line="276" w:lineRule="auto"/>
        <w:jc w:val="both"/>
        <w:rPr>
          <w:rFonts w:ascii="Arial" w:eastAsia="Calibri" w:hAnsi="Arial" w:cs="Arial"/>
          <w:lang w:val="es-ES"/>
        </w:rPr>
      </w:pPr>
      <w:r w:rsidRPr="00CF2E74">
        <w:rPr>
          <w:rFonts w:ascii="Arial" w:eastAsia="Calibri" w:hAnsi="Arial" w:cs="Arial"/>
          <w:lang w:val="es-ES"/>
        </w:rPr>
        <w:t>11</w:t>
      </w:r>
      <w:r w:rsidR="00457AD6" w:rsidRPr="00CF2E74">
        <w:rPr>
          <w:rFonts w:ascii="Arial" w:eastAsia="Calibri" w:hAnsi="Arial" w:cs="Arial"/>
          <w:lang w:val="es-ES"/>
        </w:rPr>
        <w:t xml:space="preserve"> Ministerios</w:t>
      </w:r>
      <w:r w:rsidR="00457AD6" w:rsidRPr="00457AD6">
        <w:rPr>
          <w:vertAlign w:val="superscript"/>
          <w:lang w:val="es-ES"/>
        </w:rPr>
        <w:footnoteReference w:id="5"/>
      </w:r>
      <w:r w:rsidR="00457AD6" w:rsidRPr="00CF2E74">
        <w:rPr>
          <w:rFonts w:ascii="Arial" w:eastAsia="Calibri" w:hAnsi="Arial" w:cs="Arial"/>
          <w:lang w:val="es-ES"/>
        </w:rPr>
        <w:t xml:space="preserve">, </w:t>
      </w:r>
      <w:r w:rsidRPr="00CF2E74">
        <w:rPr>
          <w:rFonts w:ascii="Arial" w:eastAsia="Calibri" w:hAnsi="Arial" w:cs="Arial"/>
          <w:lang w:val="es-ES"/>
        </w:rPr>
        <w:t>6 Secretarías</w:t>
      </w:r>
      <w:r w:rsidR="00457AD6" w:rsidRPr="00457AD6">
        <w:rPr>
          <w:vertAlign w:val="superscript"/>
          <w:lang w:val="es-ES"/>
        </w:rPr>
        <w:footnoteReference w:id="6"/>
      </w:r>
      <w:r w:rsidR="00457AD6" w:rsidRPr="00CF2E74">
        <w:rPr>
          <w:rFonts w:ascii="Arial" w:eastAsia="Calibri" w:hAnsi="Arial" w:cs="Arial"/>
          <w:lang w:val="es-ES"/>
        </w:rPr>
        <w:t xml:space="preserve"> y la Asesoría General de Gobierno. </w:t>
      </w:r>
    </w:p>
    <w:p w:rsidR="00CF2E74" w:rsidRPr="00CF2E74" w:rsidRDefault="00CF2E74" w:rsidP="00CF2E74">
      <w:pPr>
        <w:pStyle w:val="Prrafodelista"/>
        <w:spacing w:before="200" w:after="120" w:line="276" w:lineRule="auto"/>
        <w:jc w:val="both"/>
        <w:rPr>
          <w:rFonts w:ascii="Arial" w:eastAsia="Calibri" w:hAnsi="Arial" w:cs="Arial"/>
          <w:lang w:val="es-ES"/>
        </w:rPr>
      </w:pPr>
    </w:p>
    <w:p w:rsidR="00457AD6" w:rsidRPr="00CF2E74" w:rsidRDefault="00503938" w:rsidP="00CF2E74">
      <w:pPr>
        <w:pStyle w:val="Prrafodelista"/>
        <w:numPr>
          <w:ilvl w:val="0"/>
          <w:numId w:val="5"/>
        </w:numPr>
        <w:spacing w:before="200" w:after="120" w:line="276" w:lineRule="auto"/>
        <w:jc w:val="both"/>
        <w:rPr>
          <w:rFonts w:ascii="Arial" w:eastAsia="Calibri" w:hAnsi="Arial" w:cs="Arial"/>
          <w:b/>
          <w:lang w:val="es-ES"/>
        </w:rPr>
      </w:pPr>
      <w:r w:rsidRPr="00CF2E74">
        <w:rPr>
          <w:rFonts w:ascii="Arial" w:eastAsia="Calibri" w:hAnsi="Arial" w:cs="Arial"/>
          <w:lang w:val="es-ES"/>
        </w:rPr>
        <w:t>E</w:t>
      </w:r>
      <w:r w:rsidR="00457AD6" w:rsidRPr="00CF2E74">
        <w:rPr>
          <w:rFonts w:ascii="Arial" w:eastAsia="Calibri" w:hAnsi="Arial" w:cs="Arial"/>
          <w:lang w:val="es-ES"/>
        </w:rPr>
        <w:t>ntes descentralizados</w:t>
      </w:r>
      <w:r w:rsidRPr="00CF2E74">
        <w:rPr>
          <w:rFonts w:ascii="Arial" w:eastAsia="Calibri" w:hAnsi="Arial" w:cs="Arial"/>
          <w:lang w:val="es-ES"/>
        </w:rPr>
        <w:t xml:space="preserve">: </w:t>
      </w:r>
      <w:r w:rsidR="00457AD6" w:rsidRPr="00CF2E74">
        <w:rPr>
          <w:rFonts w:ascii="Arial" w:eastAsia="Calibri" w:hAnsi="Arial" w:cs="Arial"/>
          <w:lang w:val="es-ES"/>
        </w:rPr>
        <w:t xml:space="preserve">se mantiene al </w:t>
      </w:r>
      <w:r w:rsidR="00EC00CD" w:rsidRPr="000E34AE">
        <w:rPr>
          <w:rFonts w:ascii="Arial" w:eastAsia="Calibri" w:hAnsi="Arial" w:cs="Arial"/>
          <w:lang w:val="es-ES"/>
        </w:rPr>
        <w:t xml:space="preserve">Organismo Provincial </w:t>
      </w:r>
      <w:r w:rsidR="00EC00CD">
        <w:rPr>
          <w:rFonts w:ascii="Arial" w:eastAsia="Calibri" w:hAnsi="Arial" w:cs="Arial"/>
          <w:lang w:val="es-ES"/>
        </w:rPr>
        <w:t>p</w:t>
      </w:r>
      <w:r w:rsidR="00EC00CD" w:rsidRPr="000E34AE">
        <w:rPr>
          <w:rFonts w:ascii="Arial" w:eastAsia="Calibri" w:hAnsi="Arial" w:cs="Arial"/>
          <w:lang w:val="es-ES"/>
        </w:rPr>
        <w:t xml:space="preserve">ara </w:t>
      </w:r>
      <w:r w:rsidR="00EC00CD">
        <w:rPr>
          <w:rFonts w:ascii="Arial" w:eastAsia="Calibri" w:hAnsi="Arial" w:cs="Arial"/>
          <w:lang w:val="es-ES"/>
        </w:rPr>
        <w:t>e</w:t>
      </w:r>
      <w:r w:rsidR="00EC00CD" w:rsidRPr="000E34AE">
        <w:rPr>
          <w:rFonts w:ascii="Arial" w:eastAsia="Calibri" w:hAnsi="Arial" w:cs="Arial"/>
          <w:lang w:val="es-ES"/>
        </w:rPr>
        <w:t>l Desarrollo Sostenible</w:t>
      </w:r>
      <w:r w:rsidR="00502E72">
        <w:rPr>
          <w:rFonts w:ascii="Arial" w:eastAsia="Calibri" w:hAnsi="Arial" w:cs="Arial"/>
          <w:lang w:val="es-ES"/>
        </w:rPr>
        <w:t xml:space="preserve"> (OPDS)</w:t>
      </w:r>
      <w:r w:rsidR="00457AD6" w:rsidRPr="00CF2E74">
        <w:rPr>
          <w:rFonts w:ascii="Arial" w:eastAsia="Calibri" w:hAnsi="Arial" w:cs="Arial"/>
          <w:lang w:val="es-ES"/>
        </w:rPr>
        <w:t>.</w:t>
      </w:r>
    </w:p>
    <w:p w:rsidR="00CF2E74" w:rsidRPr="00CF2E74" w:rsidRDefault="00CF2E74" w:rsidP="00CF2E74">
      <w:pPr>
        <w:pStyle w:val="Prrafodelista"/>
        <w:rPr>
          <w:rFonts w:ascii="Arial" w:eastAsia="Calibri" w:hAnsi="Arial" w:cs="Arial"/>
          <w:b/>
          <w:lang w:val="es-ES"/>
        </w:rPr>
      </w:pPr>
    </w:p>
    <w:p w:rsidR="005C4F5D" w:rsidRPr="001B6C3B" w:rsidRDefault="00503938" w:rsidP="001B6C3B">
      <w:pPr>
        <w:pStyle w:val="Prrafodelista"/>
        <w:numPr>
          <w:ilvl w:val="0"/>
          <w:numId w:val="5"/>
        </w:numPr>
        <w:spacing w:before="200" w:after="120" w:line="276" w:lineRule="auto"/>
        <w:jc w:val="both"/>
        <w:rPr>
          <w:rFonts w:ascii="Arial" w:eastAsia="Calibri" w:hAnsi="Arial" w:cs="Arial"/>
          <w:lang w:val="es-ES"/>
        </w:rPr>
      </w:pPr>
      <w:r w:rsidRPr="00CF2E74">
        <w:rPr>
          <w:rFonts w:ascii="Arial" w:eastAsia="Calibri" w:hAnsi="Arial" w:cs="Arial"/>
          <w:lang w:val="es-ES"/>
        </w:rPr>
        <w:t>Eli</w:t>
      </w:r>
      <w:r w:rsidR="00457AD6" w:rsidRPr="00CF2E74">
        <w:rPr>
          <w:rFonts w:ascii="Arial" w:eastAsia="Calibri" w:hAnsi="Arial" w:cs="Arial"/>
          <w:lang w:val="es-ES"/>
        </w:rPr>
        <w:t>mina</w:t>
      </w:r>
      <w:r w:rsidRPr="00CF2E74">
        <w:rPr>
          <w:rFonts w:ascii="Arial" w:eastAsia="Calibri" w:hAnsi="Arial" w:cs="Arial"/>
          <w:lang w:val="es-ES"/>
        </w:rPr>
        <w:t xml:space="preserve"> las</w:t>
      </w:r>
      <w:r w:rsidR="00457AD6" w:rsidRPr="00CF2E74">
        <w:rPr>
          <w:rFonts w:ascii="Arial" w:eastAsia="Calibri" w:hAnsi="Arial" w:cs="Arial"/>
          <w:lang w:val="es-ES"/>
        </w:rPr>
        <w:t xml:space="preserve"> incompatibilidades de los Subsecretarios –</w:t>
      </w:r>
      <w:r w:rsidRPr="00CF2E74">
        <w:rPr>
          <w:rFonts w:ascii="Arial" w:eastAsia="Calibri" w:hAnsi="Arial" w:cs="Arial"/>
          <w:lang w:val="es-ES"/>
        </w:rPr>
        <w:t xml:space="preserve">omisión </w:t>
      </w:r>
      <w:r w:rsidR="00457AD6" w:rsidRPr="00CF2E74">
        <w:rPr>
          <w:rFonts w:ascii="Arial" w:eastAsia="Calibri" w:hAnsi="Arial" w:cs="Arial"/>
          <w:lang w:val="es-ES"/>
        </w:rPr>
        <w:t xml:space="preserve">que fue parcialmente remediada </w:t>
      </w:r>
      <w:r w:rsidRPr="00CF2E74">
        <w:rPr>
          <w:rFonts w:ascii="Arial" w:eastAsia="Calibri" w:hAnsi="Arial" w:cs="Arial"/>
          <w:lang w:val="es-ES"/>
        </w:rPr>
        <w:t>por</w:t>
      </w:r>
      <w:r w:rsidR="00457AD6" w:rsidRPr="00CF2E74">
        <w:rPr>
          <w:rFonts w:ascii="Arial" w:eastAsia="Calibri" w:hAnsi="Arial" w:cs="Arial"/>
          <w:lang w:val="es-ES"/>
        </w:rPr>
        <w:t xml:space="preserve"> la Ley Nº 14853 y re</w:t>
      </w:r>
      <w:r w:rsidRPr="00CF2E74">
        <w:rPr>
          <w:rFonts w:ascii="Arial" w:eastAsia="Calibri" w:hAnsi="Arial" w:cs="Arial"/>
          <w:lang w:val="es-ES"/>
        </w:rPr>
        <w:t>iterada</w:t>
      </w:r>
      <w:r w:rsidR="00457AD6" w:rsidRPr="00CF2E74">
        <w:rPr>
          <w:rFonts w:ascii="Arial" w:eastAsia="Calibri" w:hAnsi="Arial" w:cs="Arial"/>
          <w:lang w:val="es-ES"/>
        </w:rPr>
        <w:t xml:space="preserve"> por la Ley Nº 14.989-</w:t>
      </w:r>
      <w:r w:rsidRPr="00CF2E74">
        <w:rPr>
          <w:rFonts w:ascii="Arial" w:eastAsia="Calibri" w:hAnsi="Arial" w:cs="Arial"/>
          <w:lang w:val="es-ES"/>
        </w:rPr>
        <w:t xml:space="preserve"> y reduce las de</w:t>
      </w:r>
      <w:r w:rsidR="00457AD6" w:rsidRPr="00CF2E74">
        <w:rPr>
          <w:rFonts w:ascii="Arial" w:eastAsia="Calibri" w:hAnsi="Arial" w:cs="Arial"/>
          <w:lang w:val="es-ES"/>
        </w:rPr>
        <w:t xml:space="preserve"> Ministros y Secretarios</w:t>
      </w:r>
      <w:r w:rsidR="00457AD6" w:rsidRPr="00457AD6">
        <w:rPr>
          <w:vertAlign w:val="superscript"/>
          <w:lang w:val="es-ES"/>
        </w:rPr>
        <w:footnoteReference w:id="7"/>
      </w:r>
      <w:r w:rsidR="00457AD6" w:rsidRPr="00CF2E74">
        <w:rPr>
          <w:rFonts w:ascii="Arial" w:eastAsia="Calibri" w:hAnsi="Arial" w:cs="Arial"/>
          <w:lang w:val="es-ES"/>
        </w:rPr>
        <w:t xml:space="preserve">. </w:t>
      </w:r>
    </w:p>
    <w:p w:rsidR="005C4F5D" w:rsidRDefault="00EC00CD" w:rsidP="005C4F5D">
      <w:pPr>
        <w:spacing w:before="200" w:after="120" w:line="276" w:lineRule="auto"/>
        <w:jc w:val="both"/>
        <w:rPr>
          <w:rFonts w:ascii="Arial" w:eastAsia="Calibri" w:hAnsi="Arial" w:cs="Arial"/>
          <w:lang w:val="es-ES"/>
        </w:rPr>
      </w:pPr>
      <w:r>
        <w:rPr>
          <w:rFonts w:ascii="Arial" w:eastAsia="Calibri" w:hAnsi="Arial" w:cs="Arial"/>
          <w:lang w:val="es-ES"/>
        </w:rPr>
        <w:lastRenderedPageBreak/>
        <w:t>Bajo la Ley N° 14.803, al inicio de la actual gestión se aprobaron l</w:t>
      </w:r>
      <w:r w:rsidR="005C4F5D">
        <w:rPr>
          <w:rFonts w:ascii="Arial" w:eastAsia="Calibri" w:hAnsi="Arial" w:cs="Arial"/>
          <w:lang w:val="es-ES"/>
        </w:rPr>
        <w:t xml:space="preserve">as </w:t>
      </w:r>
      <w:r>
        <w:rPr>
          <w:rFonts w:ascii="Arial" w:eastAsia="Calibri" w:hAnsi="Arial" w:cs="Arial"/>
          <w:lang w:val="es-ES"/>
        </w:rPr>
        <w:t xml:space="preserve">siguientes </w:t>
      </w:r>
      <w:r w:rsidR="005C4F5D">
        <w:rPr>
          <w:rFonts w:ascii="Arial" w:eastAsia="Calibri" w:hAnsi="Arial" w:cs="Arial"/>
          <w:lang w:val="es-ES"/>
        </w:rPr>
        <w:t>estructuras:</w:t>
      </w:r>
    </w:p>
    <w:p w:rsidR="005C4F5D" w:rsidRDefault="00BA3277" w:rsidP="005C4F5D">
      <w:pPr>
        <w:spacing w:before="200" w:after="120" w:line="276" w:lineRule="auto"/>
        <w:jc w:val="both"/>
        <w:rPr>
          <w:rFonts w:ascii="Arial" w:eastAsia="Calibri" w:hAnsi="Arial" w:cs="Arial"/>
          <w:lang w:val="es-ES"/>
        </w:rPr>
      </w:pPr>
      <w:r>
        <w:rPr>
          <w:noProof/>
          <w:lang w:eastAsia="es-AR"/>
        </w:rPr>
        <w:drawing>
          <wp:inline distT="0" distB="0" distL="0" distR="0">
            <wp:extent cx="5731510" cy="35388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538855"/>
                    </a:xfrm>
                    <a:prstGeom prst="rect">
                      <a:avLst/>
                    </a:prstGeom>
                  </pic:spPr>
                </pic:pic>
              </a:graphicData>
            </a:graphic>
          </wp:inline>
        </w:drawing>
      </w:r>
    </w:p>
    <w:p w:rsidR="00C86EFB" w:rsidRPr="00C86EFB" w:rsidRDefault="00C86EFB" w:rsidP="005C4F5D">
      <w:pPr>
        <w:spacing w:before="200" w:after="120" w:line="276" w:lineRule="auto"/>
        <w:jc w:val="both"/>
        <w:rPr>
          <w:rFonts w:ascii="Arial" w:eastAsia="Calibri" w:hAnsi="Arial" w:cs="Arial"/>
          <w:sz w:val="20"/>
          <w:lang w:val="es-ES"/>
        </w:rPr>
      </w:pPr>
      <w:r w:rsidRPr="00C86EFB">
        <w:rPr>
          <w:rFonts w:ascii="Arial" w:eastAsia="Calibri" w:hAnsi="Arial" w:cs="Arial"/>
          <w:b/>
          <w:sz w:val="20"/>
          <w:lang w:val="es-ES"/>
        </w:rPr>
        <w:t>Fuente:</w:t>
      </w:r>
      <w:r w:rsidRPr="00C86EFB">
        <w:rPr>
          <w:rFonts w:ascii="Arial" w:eastAsia="Calibri" w:hAnsi="Arial" w:cs="Arial"/>
          <w:sz w:val="20"/>
          <w:lang w:val="es-ES"/>
        </w:rPr>
        <w:t xml:space="preserve"> Elaboración propia en base a los Decretos mencionados en la última columna, disponibles en: </w:t>
      </w:r>
      <w:hyperlink r:id="rId9" w:history="1">
        <w:r w:rsidRPr="00C86EFB">
          <w:rPr>
            <w:rStyle w:val="Hipervnculo"/>
            <w:rFonts w:ascii="Arial" w:eastAsia="Calibri" w:hAnsi="Arial" w:cs="Arial"/>
            <w:sz w:val="20"/>
            <w:lang w:val="es-ES"/>
          </w:rPr>
          <w:t>http://www.gob.gba.gov.ar/dijl/#</w:t>
        </w:r>
      </w:hyperlink>
    </w:p>
    <w:p w:rsidR="00C86EFB" w:rsidRDefault="00C86EFB" w:rsidP="005C4F5D">
      <w:pPr>
        <w:spacing w:before="200" w:after="120" w:line="276" w:lineRule="auto"/>
        <w:jc w:val="both"/>
        <w:rPr>
          <w:rFonts w:ascii="Arial" w:eastAsia="Calibri" w:hAnsi="Arial" w:cs="Arial"/>
          <w:lang w:val="es-ES"/>
        </w:rPr>
      </w:pPr>
    </w:p>
    <w:p w:rsidR="001B6C3B" w:rsidRDefault="001B6C3B" w:rsidP="005C4F5D">
      <w:pPr>
        <w:spacing w:before="200" w:after="120" w:line="276" w:lineRule="auto"/>
        <w:jc w:val="both"/>
        <w:rPr>
          <w:rFonts w:ascii="Arial" w:eastAsia="Calibri" w:hAnsi="Arial" w:cs="Arial"/>
          <w:lang w:val="es-ES"/>
        </w:rPr>
      </w:pPr>
      <w:r>
        <w:rPr>
          <w:rFonts w:ascii="Arial" w:eastAsia="Calibri" w:hAnsi="Arial" w:cs="Arial"/>
          <w:lang w:val="es-ES"/>
        </w:rPr>
        <w:t>Cabe señalar que se contabilizan exclusivamente los cargos aprobados en los Decretos indicados en la última columna. Sin perjuicio de su fecha de sanción, todos tienen un artículo por el cual la vigencia no es la de ésa última</w:t>
      </w:r>
      <w:r>
        <w:rPr>
          <w:rStyle w:val="Refdenotaalpie"/>
          <w:rFonts w:ascii="Arial" w:eastAsia="Calibri" w:hAnsi="Arial" w:cs="Arial"/>
          <w:lang w:val="es-ES"/>
        </w:rPr>
        <w:footnoteReference w:id="8"/>
      </w:r>
      <w:r>
        <w:rPr>
          <w:rFonts w:ascii="Arial" w:eastAsia="Calibri" w:hAnsi="Arial" w:cs="Arial"/>
          <w:lang w:val="es-ES"/>
        </w:rPr>
        <w:t xml:space="preserve">, sino el 11 de </w:t>
      </w:r>
      <w:r w:rsidR="00502E72">
        <w:rPr>
          <w:rFonts w:ascii="Arial" w:eastAsia="Calibri" w:hAnsi="Arial" w:cs="Arial"/>
          <w:lang w:val="es-ES"/>
        </w:rPr>
        <w:t>d</w:t>
      </w:r>
      <w:r>
        <w:rPr>
          <w:rFonts w:ascii="Arial" w:eastAsia="Calibri" w:hAnsi="Arial" w:cs="Arial"/>
          <w:lang w:val="es-ES"/>
        </w:rPr>
        <w:t>iciembre de 2015.</w:t>
      </w:r>
      <w:r w:rsidR="00326065">
        <w:rPr>
          <w:rFonts w:ascii="Arial" w:eastAsia="Calibri" w:hAnsi="Arial" w:cs="Arial"/>
          <w:lang w:val="es-ES"/>
        </w:rPr>
        <w:t xml:space="preserve"> En consecuencia, no se incluyen los cargos correspondientes a los organismos </w:t>
      </w:r>
      <w:r w:rsidR="00326065">
        <w:rPr>
          <w:rFonts w:ascii="Arial" w:eastAsia="Calibri" w:hAnsi="Arial" w:cs="Arial"/>
          <w:lang w:val="es-ES"/>
        </w:rPr>
        <w:lastRenderedPageBreak/>
        <w:t>desconcentrados</w:t>
      </w:r>
      <w:r w:rsidR="00326065">
        <w:rPr>
          <w:rStyle w:val="Refdenotaalpie"/>
          <w:rFonts w:ascii="Arial" w:eastAsia="Calibri" w:hAnsi="Arial" w:cs="Arial"/>
          <w:lang w:val="es-ES"/>
        </w:rPr>
        <w:footnoteReference w:id="9"/>
      </w:r>
      <w:r w:rsidR="00326065">
        <w:rPr>
          <w:rFonts w:ascii="Arial" w:eastAsia="Calibri" w:hAnsi="Arial" w:cs="Arial"/>
          <w:lang w:val="es-ES"/>
        </w:rPr>
        <w:t>, los cuales mantienen vigentes las estructuras de la gestión anterior, ni los cargos que no correspondan al régimen general de la Ley N° 10.430. En consecuencia, sólo se ven reflejados los cambios introducidos por la actual gestión de gobierno.</w:t>
      </w:r>
      <w:r w:rsidR="00EC00CD">
        <w:rPr>
          <w:rFonts w:ascii="Arial" w:eastAsia="Calibri" w:hAnsi="Arial" w:cs="Arial"/>
          <w:lang w:val="es-ES"/>
        </w:rPr>
        <w:t xml:space="preserve"> Tampoco se consideran los cargos que no se correspondan con el Régimen General de Empleo Público de la Ley N° 10.430.</w:t>
      </w:r>
    </w:p>
    <w:p w:rsidR="00326065" w:rsidRDefault="00326065" w:rsidP="005C4F5D">
      <w:pPr>
        <w:spacing w:before="200" w:after="120" w:line="276" w:lineRule="auto"/>
        <w:jc w:val="both"/>
        <w:rPr>
          <w:rFonts w:ascii="Arial" w:eastAsia="Calibri" w:hAnsi="Arial" w:cs="Arial"/>
          <w:lang w:val="es-ES"/>
        </w:rPr>
      </w:pPr>
      <w:r>
        <w:rPr>
          <w:rFonts w:ascii="Arial" w:eastAsia="Calibri" w:hAnsi="Arial" w:cs="Arial"/>
          <w:lang w:val="es-ES"/>
        </w:rPr>
        <w:t>S</w:t>
      </w:r>
      <w:r w:rsidR="00EC00CD">
        <w:rPr>
          <w:rFonts w:ascii="Arial" w:eastAsia="Calibri" w:hAnsi="Arial" w:cs="Arial"/>
          <w:lang w:val="es-ES"/>
        </w:rPr>
        <w:t>i bien fue creado por la Ley 14.805, s</w:t>
      </w:r>
      <w:r>
        <w:rPr>
          <w:rFonts w:ascii="Arial" w:eastAsia="Calibri" w:hAnsi="Arial" w:cs="Arial"/>
          <w:lang w:val="es-ES"/>
        </w:rPr>
        <w:t xml:space="preserve">e incluye al Organismo Provincial de Niñez, por cuanto su estructura fue aprobada juntamente con la del Ministerio de Desarrollo Social en el decreto indicado, </w:t>
      </w:r>
      <w:r w:rsidR="00EC00CD">
        <w:rPr>
          <w:rFonts w:ascii="Arial" w:eastAsia="Calibri" w:hAnsi="Arial" w:cs="Arial"/>
          <w:lang w:val="es-ES"/>
        </w:rPr>
        <w:t>dependiendo</w:t>
      </w:r>
      <w:r>
        <w:rPr>
          <w:rFonts w:ascii="Arial" w:eastAsia="Calibri" w:hAnsi="Arial" w:cs="Arial"/>
          <w:lang w:val="es-ES"/>
        </w:rPr>
        <w:t xml:space="preserve"> tanto operativa como presupuestariamente</w:t>
      </w:r>
      <w:r w:rsidR="00EC00CD">
        <w:rPr>
          <w:rFonts w:ascii="Arial" w:eastAsia="Calibri" w:hAnsi="Arial" w:cs="Arial"/>
          <w:lang w:val="es-ES"/>
        </w:rPr>
        <w:t xml:space="preserve"> del Ministerio</w:t>
      </w:r>
      <w:r>
        <w:rPr>
          <w:rFonts w:ascii="Arial" w:eastAsia="Calibri" w:hAnsi="Arial" w:cs="Arial"/>
          <w:lang w:val="es-ES"/>
        </w:rPr>
        <w:t>.</w:t>
      </w:r>
    </w:p>
    <w:p w:rsidR="001B6C3B" w:rsidRDefault="001B6C3B" w:rsidP="005C4F5D">
      <w:pPr>
        <w:spacing w:before="200" w:after="120" w:line="276" w:lineRule="auto"/>
        <w:jc w:val="both"/>
        <w:rPr>
          <w:rFonts w:ascii="Arial" w:eastAsia="Calibri" w:hAnsi="Arial" w:cs="Arial"/>
          <w:lang w:val="es-ES"/>
        </w:rPr>
      </w:pPr>
    </w:p>
    <w:p w:rsidR="00503938" w:rsidRDefault="00457AD6" w:rsidP="00CF2E74">
      <w:pPr>
        <w:pStyle w:val="Prrafodelista"/>
        <w:numPr>
          <w:ilvl w:val="0"/>
          <w:numId w:val="4"/>
        </w:numPr>
        <w:spacing w:before="200" w:after="120" w:line="276" w:lineRule="auto"/>
        <w:jc w:val="both"/>
        <w:rPr>
          <w:rFonts w:ascii="Arial" w:eastAsia="Calibri" w:hAnsi="Arial" w:cs="Arial"/>
          <w:b/>
          <w:lang w:val="es-ES"/>
        </w:rPr>
      </w:pPr>
      <w:r w:rsidRPr="00CF2E74">
        <w:rPr>
          <w:rFonts w:ascii="Arial" w:eastAsia="Calibri" w:hAnsi="Arial" w:cs="Arial"/>
          <w:b/>
          <w:lang w:val="es-ES"/>
        </w:rPr>
        <w:t>Ley Nº 14.805</w:t>
      </w:r>
      <w:r w:rsidR="00502E72">
        <w:rPr>
          <w:rFonts w:ascii="Arial" w:eastAsia="Calibri" w:hAnsi="Arial" w:cs="Arial"/>
          <w:b/>
          <w:lang w:val="es-ES"/>
        </w:rPr>
        <w:t xml:space="preserve"> </w:t>
      </w:r>
      <w:r w:rsidR="00CF2E74" w:rsidRPr="0024346D">
        <w:rPr>
          <w:rFonts w:ascii="Arial" w:eastAsia="Calibri" w:hAnsi="Arial" w:cs="Arial"/>
          <w:lang w:val="es-ES"/>
        </w:rPr>
        <w:t>(15/1/2016)</w:t>
      </w:r>
    </w:p>
    <w:p w:rsidR="00CF2E74" w:rsidRPr="00CF2E74" w:rsidRDefault="00CF2E74" w:rsidP="00CF2E74">
      <w:pPr>
        <w:pStyle w:val="Prrafodelista"/>
        <w:spacing w:before="200" w:after="120" w:line="276" w:lineRule="auto"/>
        <w:jc w:val="both"/>
        <w:rPr>
          <w:rFonts w:ascii="Arial" w:eastAsia="Calibri" w:hAnsi="Arial" w:cs="Arial"/>
          <w:b/>
          <w:lang w:val="es-ES"/>
        </w:rPr>
      </w:pPr>
    </w:p>
    <w:p w:rsidR="00457AD6" w:rsidRDefault="00503938" w:rsidP="00CF2E74">
      <w:pPr>
        <w:pStyle w:val="Prrafodelista"/>
        <w:numPr>
          <w:ilvl w:val="0"/>
          <w:numId w:val="6"/>
        </w:numPr>
        <w:spacing w:before="200" w:after="120" w:line="276" w:lineRule="auto"/>
        <w:jc w:val="both"/>
        <w:rPr>
          <w:rFonts w:ascii="Arial" w:eastAsia="Calibri" w:hAnsi="Arial" w:cs="Arial"/>
          <w:lang w:val="es-ES"/>
        </w:rPr>
      </w:pPr>
      <w:r w:rsidRPr="00CF2E74">
        <w:rPr>
          <w:rFonts w:ascii="Arial" w:eastAsia="Calibri" w:hAnsi="Arial" w:cs="Arial"/>
          <w:lang w:val="es-ES"/>
        </w:rPr>
        <w:t>C</w:t>
      </w:r>
      <w:r w:rsidR="00457AD6" w:rsidRPr="00CF2E74">
        <w:rPr>
          <w:rFonts w:ascii="Arial" w:eastAsia="Calibri" w:hAnsi="Arial" w:cs="Arial"/>
          <w:lang w:val="es-ES"/>
        </w:rPr>
        <w:t>ambio en la denominación del ex “Ministerio de Asuntos Agrarios”, por la de “Ministerio de Agroindustria”</w:t>
      </w:r>
      <w:r w:rsidRPr="00CF2E74">
        <w:rPr>
          <w:rFonts w:ascii="Arial" w:eastAsia="Calibri" w:hAnsi="Arial" w:cs="Arial"/>
          <w:lang w:val="es-ES"/>
        </w:rPr>
        <w:t xml:space="preserve"> (</w:t>
      </w:r>
      <w:r w:rsidR="00457AD6" w:rsidRPr="00CF2E74">
        <w:rPr>
          <w:rFonts w:ascii="Arial" w:eastAsia="Calibri" w:hAnsi="Arial" w:cs="Arial"/>
          <w:lang w:val="es-ES"/>
        </w:rPr>
        <w:t>meramente simbólica</w:t>
      </w:r>
      <w:r w:rsidRPr="00CF2E74">
        <w:rPr>
          <w:rFonts w:ascii="Arial" w:eastAsia="Calibri" w:hAnsi="Arial" w:cs="Arial"/>
          <w:lang w:val="es-ES"/>
        </w:rPr>
        <w:t xml:space="preserve">. No </w:t>
      </w:r>
      <w:r w:rsidR="00457AD6" w:rsidRPr="00CF2E74">
        <w:rPr>
          <w:rFonts w:ascii="Arial" w:eastAsia="Calibri" w:hAnsi="Arial" w:cs="Arial"/>
          <w:lang w:val="es-ES"/>
        </w:rPr>
        <w:t xml:space="preserve">se modificaron </w:t>
      </w:r>
      <w:r w:rsidRPr="00CF2E74">
        <w:rPr>
          <w:rFonts w:ascii="Arial" w:eastAsia="Calibri" w:hAnsi="Arial" w:cs="Arial"/>
          <w:lang w:val="es-ES"/>
        </w:rPr>
        <w:t>competencias)</w:t>
      </w:r>
      <w:r w:rsidR="00457AD6" w:rsidRPr="00CF2E74">
        <w:rPr>
          <w:rFonts w:ascii="Arial" w:eastAsia="Calibri" w:hAnsi="Arial" w:cs="Arial"/>
          <w:lang w:val="es-ES"/>
        </w:rPr>
        <w:t>.</w:t>
      </w:r>
    </w:p>
    <w:p w:rsidR="00CF2E74" w:rsidRPr="00CF2E74" w:rsidRDefault="00CF2E74" w:rsidP="00CF2E74">
      <w:pPr>
        <w:pStyle w:val="Prrafodelista"/>
        <w:spacing w:before="200" w:after="120" w:line="276" w:lineRule="auto"/>
        <w:jc w:val="both"/>
        <w:rPr>
          <w:rFonts w:ascii="Arial" w:eastAsia="Calibri" w:hAnsi="Arial" w:cs="Arial"/>
          <w:lang w:val="es-ES"/>
        </w:rPr>
      </w:pPr>
    </w:p>
    <w:p w:rsidR="00457AD6" w:rsidRPr="00CF2E74" w:rsidRDefault="00503938" w:rsidP="00326065">
      <w:pPr>
        <w:pStyle w:val="Prrafodelista"/>
        <w:numPr>
          <w:ilvl w:val="0"/>
          <w:numId w:val="6"/>
        </w:numPr>
        <w:spacing w:before="200" w:after="120" w:line="276" w:lineRule="auto"/>
        <w:jc w:val="both"/>
        <w:rPr>
          <w:rFonts w:ascii="Arial" w:eastAsia="Calibri" w:hAnsi="Arial" w:cs="Arial"/>
          <w:lang w:val="es-ES"/>
        </w:rPr>
      </w:pPr>
      <w:r w:rsidRPr="00CF2E74">
        <w:rPr>
          <w:rFonts w:ascii="Arial" w:eastAsia="Calibri" w:hAnsi="Arial" w:cs="Arial"/>
          <w:lang w:val="es-ES"/>
        </w:rPr>
        <w:t>A</w:t>
      </w:r>
      <w:r w:rsidR="00457AD6" w:rsidRPr="00CF2E74">
        <w:rPr>
          <w:rFonts w:ascii="Arial" w:eastAsia="Calibri" w:hAnsi="Arial" w:cs="Arial"/>
          <w:lang w:val="es-ES"/>
        </w:rPr>
        <w:t>dm</w:t>
      </w:r>
      <w:r w:rsidRPr="00CF2E74">
        <w:rPr>
          <w:rFonts w:ascii="Arial" w:eastAsia="Calibri" w:hAnsi="Arial" w:cs="Arial"/>
          <w:lang w:val="es-ES"/>
        </w:rPr>
        <w:t>. Descentralizada:</w:t>
      </w:r>
      <w:r w:rsidR="00457AD6" w:rsidRPr="00CF2E74">
        <w:rPr>
          <w:rFonts w:ascii="Arial" w:eastAsia="Calibri" w:hAnsi="Arial" w:cs="Arial"/>
          <w:lang w:val="es-ES"/>
        </w:rPr>
        <w:t xml:space="preserve"> creó</w:t>
      </w:r>
      <w:r w:rsidR="00457AD6" w:rsidRPr="00CF2E74">
        <w:rPr>
          <w:rFonts w:ascii="Arial" w:eastAsia="Calibri" w:hAnsi="Arial" w:cs="Arial"/>
        </w:rPr>
        <w:t xml:space="preserve"> el Organismo Provincial de la </w:t>
      </w:r>
      <w:r w:rsidRPr="00CF2E74">
        <w:rPr>
          <w:rFonts w:ascii="Arial" w:eastAsia="Calibri" w:hAnsi="Arial" w:cs="Arial"/>
        </w:rPr>
        <w:t xml:space="preserve">Niñez y Adolescencia, </w:t>
      </w:r>
      <w:r w:rsidR="00457AD6" w:rsidRPr="00CF2E74">
        <w:rPr>
          <w:rFonts w:ascii="Arial" w:eastAsia="Calibri" w:hAnsi="Arial" w:cs="Arial"/>
        </w:rPr>
        <w:t>sucesor de la ex Secret</w:t>
      </w:r>
      <w:r w:rsidRPr="00CF2E74">
        <w:rPr>
          <w:rFonts w:ascii="Arial" w:eastAsia="Calibri" w:hAnsi="Arial" w:cs="Arial"/>
        </w:rPr>
        <w:t>aría de la Niñez y Adolescencia.</w:t>
      </w:r>
      <w:r w:rsidR="00326065">
        <w:rPr>
          <w:rFonts w:ascii="Arial" w:eastAsia="Calibri" w:hAnsi="Arial" w:cs="Arial"/>
        </w:rPr>
        <w:t xml:space="preserve"> Cabe señalar que en las sucesivas modificaciones, hasta la última inclusive, se mantuvo dicho carácter de descentralizado, el cual jamás tuvo reflejo presupuestario, siendo incluidas sus partidas presupuestarias entre las correspondientes a la Jurisdicción </w:t>
      </w:r>
      <w:r w:rsidR="00326065" w:rsidRPr="00326065">
        <w:rPr>
          <w:rFonts w:ascii="Arial" w:eastAsia="Calibri" w:hAnsi="Arial" w:cs="Arial"/>
        </w:rPr>
        <w:t xml:space="preserve">1.1.1.18.0.0 - </w:t>
      </w:r>
      <w:r w:rsidR="00BA3277" w:rsidRPr="00326065">
        <w:rPr>
          <w:rFonts w:ascii="Arial" w:eastAsia="Calibri" w:hAnsi="Arial" w:cs="Arial"/>
        </w:rPr>
        <w:t xml:space="preserve">Ministerio </w:t>
      </w:r>
      <w:r w:rsidR="00BA3277">
        <w:rPr>
          <w:rFonts w:ascii="Arial" w:eastAsia="Calibri" w:hAnsi="Arial" w:cs="Arial"/>
        </w:rPr>
        <w:t>d</w:t>
      </w:r>
      <w:r w:rsidR="00BA3277" w:rsidRPr="00326065">
        <w:rPr>
          <w:rFonts w:ascii="Arial" w:eastAsia="Calibri" w:hAnsi="Arial" w:cs="Arial"/>
        </w:rPr>
        <w:t>e Desarrollo Social</w:t>
      </w:r>
      <w:r w:rsidR="00326065">
        <w:rPr>
          <w:rFonts w:ascii="Arial" w:eastAsia="Calibri" w:hAnsi="Arial" w:cs="Arial"/>
        </w:rPr>
        <w:t>.</w:t>
      </w:r>
    </w:p>
    <w:p w:rsidR="00503938" w:rsidRDefault="00457AD6" w:rsidP="00CF2E74">
      <w:pPr>
        <w:spacing w:before="200" w:after="120" w:line="276" w:lineRule="auto"/>
        <w:jc w:val="both"/>
        <w:rPr>
          <w:rFonts w:ascii="Arial" w:eastAsia="Calibri" w:hAnsi="Arial" w:cs="Arial"/>
          <w:lang w:val="es-ES"/>
        </w:rPr>
      </w:pPr>
      <w:r w:rsidRPr="00457AD6">
        <w:rPr>
          <w:rFonts w:ascii="Arial" w:eastAsia="Calibri" w:hAnsi="Arial" w:cs="Arial"/>
          <w:lang w:val="es-ES"/>
        </w:rPr>
        <w:t> </w:t>
      </w:r>
    </w:p>
    <w:p w:rsidR="00503938" w:rsidRPr="00C24001" w:rsidRDefault="00457AD6" w:rsidP="00CF2E74">
      <w:pPr>
        <w:pStyle w:val="Prrafodelista"/>
        <w:numPr>
          <w:ilvl w:val="0"/>
          <w:numId w:val="4"/>
        </w:numPr>
        <w:spacing w:before="200" w:after="120" w:line="276" w:lineRule="auto"/>
        <w:jc w:val="both"/>
        <w:rPr>
          <w:rFonts w:ascii="Arial" w:eastAsia="Calibri" w:hAnsi="Arial" w:cs="Arial"/>
          <w:lang w:val="es-ES"/>
        </w:rPr>
      </w:pPr>
      <w:r w:rsidRPr="00CF2E74">
        <w:rPr>
          <w:rFonts w:ascii="Arial" w:eastAsia="Calibri" w:hAnsi="Arial" w:cs="Arial"/>
          <w:b/>
          <w:lang w:val="es-ES"/>
        </w:rPr>
        <w:t>Ley Nº 14.832</w:t>
      </w:r>
      <w:r w:rsidR="00503938" w:rsidRPr="00C24001">
        <w:rPr>
          <w:rFonts w:ascii="Arial" w:eastAsia="Calibri" w:hAnsi="Arial" w:cs="Arial"/>
          <w:lang w:val="es-ES"/>
        </w:rPr>
        <w:t>(18/8/2016)</w:t>
      </w:r>
    </w:p>
    <w:p w:rsidR="00C24001" w:rsidRPr="00CF2E74" w:rsidRDefault="00C24001" w:rsidP="00C24001">
      <w:pPr>
        <w:pStyle w:val="Prrafodelista"/>
        <w:spacing w:before="200" w:after="120" w:line="276" w:lineRule="auto"/>
        <w:jc w:val="both"/>
        <w:rPr>
          <w:rFonts w:ascii="Arial" w:eastAsia="Calibri" w:hAnsi="Arial" w:cs="Arial"/>
          <w:lang w:val="es-ES"/>
        </w:rPr>
      </w:pPr>
    </w:p>
    <w:p w:rsidR="00503938" w:rsidRDefault="00503938" w:rsidP="00CF2E74">
      <w:pPr>
        <w:pStyle w:val="Prrafodelista"/>
        <w:numPr>
          <w:ilvl w:val="0"/>
          <w:numId w:val="7"/>
        </w:numPr>
        <w:spacing w:before="200" w:after="120" w:line="276" w:lineRule="auto"/>
        <w:jc w:val="both"/>
        <w:rPr>
          <w:rFonts w:ascii="Arial" w:eastAsia="Calibri" w:hAnsi="Arial" w:cs="Arial"/>
          <w:lang w:val="es-ES"/>
        </w:rPr>
      </w:pPr>
      <w:r w:rsidRPr="00CF2E74">
        <w:rPr>
          <w:rFonts w:ascii="Arial" w:eastAsia="Calibri" w:hAnsi="Arial" w:cs="Arial"/>
          <w:lang w:val="es-ES"/>
        </w:rPr>
        <w:t>E</w:t>
      </w:r>
      <w:r w:rsidR="00457AD6" w:rsidRPr="00CF2E74">
        <w:rPr>
          <w:rFonts w:ascii="Arial" w:eastAsia="Calibri" w:hAnsi="Arial" w:cs="Arial"/>
          <w:lang w:val="es-ES"/>
        </w:rPr>
        <w:t xml:space="preserve">levó el número de ministerios a </w:t>
      </w:r>
      <w:r w:rsidRPr="00CF2E74">
        <w:rPr>
          <w:rFonts w:ascii="Arial" w:eastAsia="Calibri" w:hAnsi="Arial" w:cs="Arial"/>
          <w:lang w:val="es-ES"/>
        </w:rPr>
        <w:t>13.</w:t>
      </w:r>
    </w:p>
    <w:p w:rsidR="00C24001" w:rsidRPr="00CF2E74" w:rsidRDefault="00C24001" w:rsidP="00C24001">
      <w:pPr>
        <w:pStyle w:val="Prrafodelista"/>
        <w:spacing w:before="200" w:after="120" w:line="276" w:lineRule="auto"/>
        <w:jc w:val="both"/>
        <w:rPr>
          <w:rFonts w:ascii="Arial" w:eastAsia="Calibri" w:hAnsi="Arial" w:cs="Arial"/>
          <w:lang w:val="es-ES"/>
        </w:rPr>
      </w:pPr>
    </w:p>
    <w:p w:rsidR="00503938" w:rsidRDefault="00503938" w:rsidP="00CF2E74">
      <w:pPr>
        <w:pStyle w:val="Prrafodelista"/>
        <w:numPr>
          <w:ilvl w:val="0"/>
          <w:numId w:val="7"/>
        </w:numPr>
        <w:spacing w:before="200" w:after="120" w:line="276" w:lineRule="auto"/>
        <w:jc w:val="both"/>
        <w:rPr>
          <w:rFonts w:ascii="Arial" w:eastAsia="Calibri" w:hAnsi="Arial" w:cs="Arial"/>
        </w:rPr>
      </w:pPr>
      <w:r w:rsidRPr="00CF2E74">
        <w:rPr>
          <w:rFonts w:ascii="Arial" w:eastAsia="Calibri" w:hAnsi="Arial" w:cs="Arial"/>
          <w:lang w:val="es-ES"/>
        </w:rPr>
        <w:t>E</w:t>
      </w:r>
      <w:r w:rsidR="00457AD6" w:rsidRPr="00CF2E74">
        <w:rPr>
          <w:rFonts w:ascii="Arial" w:eastAsia="Calibri" w:hAnsi="Arial" w:cs="Arial"/>
          <w:lang w:val="es-ES"/>
        </w:rPr>
        <w:t>scisión del Ministerio de Producción, Ciencia y Tecnología</w:t>
      </w:r>
      <w:r w:rsidRPr="00CF2E74">
        <w:rPr>
          <w:rFonts w:ascii="Arial" w:eastAsia="Calibri" w:hAnsi="Arial" w:cs="Arial"/>
          <w:lang w:val="es-ES"/>
        </w:rPr>
        <w:t xml:space="preserve">, </w:t>
      </w:r>
      <w:r w:rsidR="00457AD6" w:rsidRPr="00CF2E74">
        <w:rPr>
          <w:rFonts w:ascii="Arial" w:eastAsia="Calibri" w:hAnsi="Arial" w:cs="Arial"/>
          <w:lang w:val="es-ES"/>
        </w:rPr>
        <w:t>cuyas atribuciones pasaron a integrar las carteras de</w:t>
      </w:r>
      <w:r w:rsidR="00C24001">
        <w:rPr>
          <w:rFonts w:ascii="Arial" w:eastAsia="Calibri" w:hAnsi="Arial" w:cs="Arial"/>
          <w:lang w:val="es-ES"/>
        </w:rPr>
        <w:t xml:space="preserve">:a) </w:t>
      </w:r>
      <w:r w:rsidR="00C24001">
        <w:rPr>
          <w:rFonts w:ascii="Arial" w:eastAsia="Calibri" w:hAnsi="Arial" w:cs="Arial"/>
        </w:rPr>
        <w:t>Producción; b)</w:t>
      </w:r>
      <w:r w:rsidR="00457AD6" w:rsidRPr="00CF2E74">
        <w:rPr>
          <w:rFonts w:ascii="Arial" w:eastAsia="Calibri" w:hAnsi="Arial" w:cs="Arial"/>
        </w:rPr>
        <w:t xml:space="preserve"> Ciencia, Tecn</w:t>
      </w:r>
      <w:r w:rsidRPr="00CF2E74">
        <w:rPr>
          <w:rFonts w:ascii="Arial" w:eastAsia="Calibri" w:hAnsi="Arial" w:cs="Arial"/>
        </w:rPr>
        <w:t xml:space="preserve">ología </w:t>
      </w:r>
      <w:r w:rsidR="00C24001">
        <w:rPr>
          <w:rFonts w:ascii="Arial" w:eastAsia="Calibri" w:hAnsi="Arial" w:cs="Arial"/>
        </w:rPr>
        <w:t>e</w:t>
      </w:r>
      <w:r w:rsidRPr="00CF2E74">
        <w:rPr>
          <w:rFonts w:ascii="Arial" w:eastAsia="Calibri" w:hAnsi="Arial" w:cs="Arial"/>
        </w:rPr>
        <w:t xml:space="preserve"> Innovación.</w:t>
      </w:r>
    </w:p>
    <w:p w:rsidR="00C24001" w:rsidRPr="00C24001" w:rsidRDefault="00C24001" w:rsidP="00C24001">
      <w:pPr>
        <w:pStyle w:val="Prrafodelista"/>
        <w:rPr>
          <w:rFonts w:ascii="Arial" w:eastAsia="Calibri" w:hAnsi="Arial" w:cs="Arial"/>
        </w:rPr>
      </w:pPr>
    </w:p>
    <w:p w:rsidR="00457AD6" w:rsidRPr="00CF2E74" w:rsidRDefault="00503938" w:rsidP="00CF2E74">
      <w:pPr>
        <w:pStyle w:val="Prrafodelista"/>
        <w:numPr>
          <w:ilvl w:val="0"/>
          <w:numId w:val="7"/>
        </w:numPr>
        <w:spacing w:before="200" w:after="120" w:line="276" w:lineRule="auto"/>
        <w:jc w:val="both"/>
        <w:rPr>
          <w:rFonts w:ascii="Arial" w:eastAsia="Calibri" w:hAnsi="Arial" w:cs="Arial"/>
        </w:rPr>
      </w:pPr>
      <w:r w:rsidRPr="00CF2E74">
        <w:rPr>
          <w:rFonts w:ascii="Arial" w:eastAsia="Calibri" w:hAnsi="Arial" w:cs="Arial"/>
        </w:rPr>
        <w:t>C</w:t>
      </w:r>
      <w:r w:rsidR="00457AD6" w:rsidRPr="00CF2E74">
        <w:rPr>
          <w:rFonts w:ascii="Arial" w:eastAsia="Calibri" w:hAnsi="Arial" w:cs="Arial"/>
        </w:rPr>
        <w:t xml:space="preserve">reación del Ministerio de Gestión Cultural (continuador de la ex Secretaría de Cultura, que fue eliminada disminuyendo a cinco las secretarías que asisten al Ejecutivo). </w:t>
      </w:r>
      <w:r w:rsidR="00911ADF">
        <w:rPr>
          <w:rFonts w:ascii="Arial" w:eastAsia="Calibri" w:hAnsi="Arial" w:cs="Arial"/>
        </w:rPr>
        <w:t>Cabe señalar que a la fecha, el citado Ministerio no ha aprobado ninguna estructura, manteniéndose vigente el Decreto N° 47/15 B, correspondiente a la ex Secretaría de Cultura.</w:t>
      </w:r>
    </w:p>
    <w:p w:rsidR="00502E72" w:rsidRDefault="00502E72">
      <w:pPr>
        <w:rPr>
          <w:rFonts w:ascii="Arial" w:eastAsia="Calibri" w:hAnsi="Arial" w:cs="Arial"/>
        </w:rPr>
      </w:pPr>
      <w:r>
        <w:rPr>
          <w:rFonts w:ascii="Arial" w:eastAsia="Calibri" w:hAnsi="Arial" w:cs="Arial"/>
        </w:rPr>
        <w:br w:type="page"/>
      </w:r>
    </w:p>
    <w:p w:rsidR="00EC00CD" w:rsidRDefault="005048FA" w:rsidP="00CF2E74">
      <w:pPr>
        <w:spacing w:before="200" w:after="120" w:line="276" w:lineRule="auto"/>
        <w:jc w:val="both"/>
        <w:rPr>
          <w:rFonts w:ascii="Arial" w:eastAsia="Calibri" w:hAnsi="Arial" w:cs="Arial"/>
        </w:rPr>
      </w:pPr>
      <w:r>
        <w:rPr>
          <w:rFonts w:ascii="Arial" w:eastAsia="Calibri" w:hAnsi="Arial" w:cs="Arial"/>
        </w:rPr>
        <w:lastRenderedPageBreak/>
        <w:t>Además de los cambios indicados, varias jurisdicciones también modificaron sus estructuras durante el período, según el siguiente detalle:</w:t>
      </w:r>
    </w:p>
    <w:p w:rsidR="005048FA" w:rsidRDefault="007E5EAC" w:rsidP="00CF2E74">
      <w:pPr>
        <w:spacing w:before="200" w:after="120" w:line="276" w:lineRule="auto"/>
        <w:jc w:val="both"/>
        <w:rPr>
          <w:rFonts w:ascii="Arial" w:eastAsia="Calibri" w:hAnsi="Arial" w:cs="Arial"/>
        </w:rPr>
      </w:pPr>
      <w:r>
        <w:rPr>
          <w:noProof/>
          <w:lang w:eastAsia="es-AR"/>
        </w:rPr>
        <w:drawing>
          <wp:inline distT="0" distB="0" distL="0" distR="0" wp14:anchorId="0ED1F9ED" wp14:editId="286DBC9C">
            <wp:extent cx="5731510" cy="4083685"/>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83685"/>
                    </a:xfrm>
                    <a:prstGeom prst="rect">
                      <a:avLst/>
                    </a:prstGeom>
                  </pic:spPr>
                </pic:pic>
              </a:graphicData>
            </a:graphic>
          </wp:inline>
        </w:drawing>
      </w:r>
    </w:p>
    <w:p w:rsidR="005048FA" w:rsidRPr="00C86EFB" w:rsidRDefault="005048FA" w:rsidP="005048FA">
      <w:pPr>
        <w:spacing w:before="200" w:after="120" w:line="276" w:lineRule="auto"/>
        <w:jc w:val="both"/>
        <w:rPr>
          <w:rFonts w:ascii="Arial" w:eastAsia="Calibri" w:hAnsi="Arial" w:cs="Arial"/>
          <w:sz w:val="20"/>
          <w:lang w:val="es-ES"/>
        </w:rPr>
      </w:pPr>
      <w:r w:rsidRPr="00C86EFB">
        <w:rPr>
          <w:rFonts w:ascii="Arial" w:eastAsia="Calibri" w:hAnsi="Arial" w:cs="Arial"/>
          <w:b/>
          <w:sz w:val="20"/>
          <w:lang w:val="es-ES"/>
        </w:rPr>
        <w:t>Fuente:</w:t>
      </w:r>
      <w:r w:rsidRPr="00C86EFB">
        <w:rPr>
          <w:rFonts w:ascii="Arial" w:eastAsia="Calibri" w:hAnsi="Arial" w:cs="Arial"/>
          <w:sz w:val="20"/>
          <w:lang w:val="es-ES"/>
        </w:rPr>
        <w:t xml:space="preserve"> Elaboración propia en base a los Decretos mencionados en la última columna, disponibles en: </w:t>
      </w:r>
      <w:hyperlink r:id="rId11" w:history="1">
        <w:r w:rsidRPr="00C86EFB">
          <w:rPr>
            <w:rStyle w:val="Hipervnculo"/>
            <w:rFonts w:ascii="Arial" w:eastAsia="Calibri" w:hAnsi="Arial" w:cs="Arial"/>
            <w:sz w:val="20"/>
            <w:lang w:val="es-ES"/>
          </w:rPr>
          <w:t>http://www.gob.gba.gov.ar/dijl/#</w:t>
        </w:r>
      </w:hyperlink>
    </w:p>
    <w:p w:rsidR="005048FA" w:rsidRDefault="005048FA" w:rsidP="00CF2E74">
      <w:pPr>
        <w:spacing w:before="200" w:after="120" w:line="276" w:lineRule="auto"/>
        <w:jc w:val="both"/>
        <w:rPr>
          <w:rFonts w:ascii="Arial" w:eastAsia="Calibri" w:hAnsi="Arial" w:cs="Arial"/>
        </w:rPr>
      </w:pPr>
    </w:p>
    <w:p w:rsidR="00C66450" w:rsidRDefault="00457AD6" w:rsidP="00C24001">
      <w:pPr>
        <w:pStyle w:val="Prrafodelista"/>
        <w:numPr>
          <w:ilvl w:val="0"/>
          <w:numId w:val="4"/>
        </w:numPr>
        <w:spacing w:before="200" w:after="120" w:line="276" w:lineRule="auto"/>
        <w:jc w:val="both"/>
        <w:rPr>
          <w:rFonts w:ascii="Arial" w:eastAsia="Calibri" w:hAnsi="Arial" w:cs="Arial"/>
          <w:lang w:val="es-ES"/>
        </w:rPr>
      </w:pPr>
      <w:r w:rsidRPr="00C24001">
        <w:rPr>
          <w:rFonts w:ascii="Arial" w:eastAsia="Calibri" w:hAnsi="Arial" w:cs="Arial"/>
          <w:b/>
          <w:lang w:val="es-ES"/>
        </w:rPr>
        <w:t>Ley Nº 14.853</w:t>
      </w:r>
      <w:r w:rsidR="00C66450" w:rsidRPr="00C24001">
        <w:rPr>
          <w:rFonts w:ascii="Arial" w:eastAsia="Calibri" w:hAnsi="Arial" w:cs="Arial"/>
          <w:lang w:val="es-ES"/>
        </w:rPr>
        <w:t>(</w:t>
      </w:r>
      <w:r w:rsidRPr="00C24001">
        <w:rPr>
          <w:rFonts w:ascii="Arial" w:eastAsia="Calibri" w:hAnsi="Arial" w:cs="Arial"/>
          <w:lang w:val="es-ES"/>
        </w:rPr>
        <w:t>30</w:t>
      </w:r>
      <w:r w:rsidR="00503938" w:rsidRPr="00C24001">
        <w:rPr>
          <w:rFonts w:ascii="Arial" w:eastAsia="Calibri" w:hAnsi="Arial" w:cs="Arial"/>
          <w:lang w:val="es-ES"/>
        </w:rPr>
        <w:t>/11/2016</w:t>
      </w:r>
      <w:r w:rsidR="00C66450" w:rsidRPr="00C24001">
        <w:rPr>
          <w:rFonts w:ascii="Arial" w:eastAsia="Calibri" w:hAnsi="Arial" w:cs="Arial"/>
          <w:lang w:val="es-ES"/>
        </w:rPr>
        <w:t xml:space="preserve"> derogó</w:t>
      </w:r>
      <w:r w:rsidRPr="00C24001">
        <w:rPr>
          <w:rFonts w:ascii="Arial" w:eastAsia="Calibri" w:hAnsi="Arial" w:cs="Arial"/>
          <w:lang w:val="es-ES"/>
        </w:rPr>
        <w:t xml:space="preserve"> la Ley Nº 14803</w:t>
      </w:r>
      <w:r w:rsidR="00C66450" w:rsidRPr="00C24001">
        <w:rPr>
          <w:rFonts w:ascii="Arial" w:eastAsia="Calibri" w:hAnsi="Arial" w:cs="Arial"/>
          <w:lang w:val="es-ES"/>
        </w:rPr>
        <w:t>)</w:t>
      </w:r>
    </w:p>
    <w:p w:rsidR="00C24001" w:rsidRPr="00C24001" w:rsidRDefault="00C24001" w:rsidP="00C24001">
      <w:pPr>
        <w:pStyle w:val="Prrafodelista"/>
        <w:spacing w:before="200" w:after="120" w:line="276" w:lineRule="auto"/>
        <w:jc w:val="both"/>
        <w:rPr>
          <w:rFonts w:ascii="Arial" w:eastAsia="Calibri" w:hAnsi="Arial" w:cs="Arial"/>
          <w:lang w:val="es-ES"/>
        </w:rPr>
      </w:pPr>
    </w:p>
    <w:p w:rsidR="00457AD6" w:rsidRPr="00C24001" w:rsidRDefault="00C66450" w:rsidP="00C24001">
      <w:pPr>
        <w:pStyle w:val="Prrafodelista"/>
        <w:numPr>
          <w:ilvl w:val="0"/>
          <w:numId w:val="8"/>
        </w:numPr>
        <w:spacing w:before="200" w:after="120" w:line="276" w:lineRule="auto"/>
        <w:jc w:val="both"/>
        <w:rPr>
          <w:rFonts w:ascii="Arial" w:eastAsia="Calibri" w:hAnsi="Arial" w:cs="Arial"/>
          <w:lang w:val="es-ES"/>
        </w:rPr>
      </w:pPr>
      <w:r w:rsidRPr="00C24001">
        <w:rPr>
          <w:rFonts w:ascii="Arial" w:eastAsia="Calibri" w:hAnsi="Arial" w:cs="Arial"/>
          <w:lang w:val="es-ES"/>
        </w:rPr>
        <w:t>E</w:t>
      </w:r>
      <w:r w:rsidR="00457AD6" w:rsidRPr="00C24001">
        <w:rPr>
          <w:rFonts w:ascii="Arial" w:eastAsia="Calibri" w:hAnsi="Arial" w:cs="Arial"/>
          <w:lang w:val="es-ES"/>
        </w:rPr>
        <w:t>liminó el Ministerio de Coordinación y Gestión Pública, restableciéndose la cartera de Jefatura de Gabinete de Ministros suprimida al inicio de la administración Vidal</w:t>
      </w:r>
      <w:r w:rsidR="00457AD6" w:rsidRPr="00457AD6">
        <w:rPr>
          <w:vertAlign w:val="superscript"/>
          <w:lang w:val="es-ES"/>
        </w:rPr>
        <w:footnoteReference w:id="10"/>
      </w:r>
      <w:r w:rsidR="00457AD6" w:rsidRPr="00C24001">
        <w:rPr>
          <w:rFonts w:ascii="Arial" w:eastAsia="Calibri" w:hAnsi="Arial" w:cs="Arial"/>
          <w:lang w:val="es-ES"/>
        </w:rPr>
        <w:t>.</w:t>
      </w:r>
    </w:p>
    <w:p w:rsidR="00457AD6" w:rsidRDefault="00BA3277" w:rsidP="00CF2E74">
      <w:pPr>
        <w:spacing w:before="200" w:after="120" w:line="276" w:lineRule="auto"/>
        <w:jc w:val="both"/>
        <w:rPr>
          <w:rFonts w:ascii="Arial" w:eastAsia="Calibri" w:hAnsi="Arial" w:cs="Arial"/>
          <w:lang w:val="es-ES"/>
        </w:rPr>
      </w:pPr>
      <w:r>
        <w:rPr>
          <w:rFonts w:ascii="Arial" w:eastAsia="Calibri" w:hAnsi="Arial" w:cs="Arial"/>
          <w:lang w:val="es-ES"/>
        </w:rPr>
        <w:t>Como consecuencia de la nueva Ley, algunas jurisdicciones modificaron sus estructuras según el siguiente detalle:</w:t>
      </w:r>
    </w:p>
    <w:p w:rsidR="00BA3277" w:rsidRDefault="007E5EAC" w:rsidP="00CF2E74">
      <w:pPr>
        <w:spacing w:before="200" w:after="120" w:line="276" w:lineRule="auto"/>
        <w:jc w:val="both"/>
        <w:rPr>
          <w:rFonts w:ascii="Arial" w:eastAsia="Calibri" w:hAnsi="Arial" w:cs="Arial"/>
          <w:lang w:val="es-ES"/>
        </w:rPr>
      </w:pPr>
      <w:r>
        <w:rPr>
          <w:noProof/>
          <w:lang w:eastAsia="es-AR"/>
        </w:rPr>
        <w:lastRenderedPageBreak/>
        <w:drawing>
          <wp:inline distT="0" distB="0" distL="0" distR="0" wp14:anchorId="32187DDD" wp14:editId="70A160AC">
            <wp:extent cx="5731510" cy="4095115"/>
            <wp:effectExtent l="0" t="0" r="254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095115"/>
                    </a:xfrm>
                    <a:prstGeom prst="rect">
                      <a:avLst/>
                    </a:prstGeom>
                  </pic:spPr>
                </pic:pic>
              </a:graphicData>
            </a:graphic>
          </wp:inline>
        </w:drawing>
      </w:r>
    </w:p>
    <w:p w:rsidR="00BA3277" w:rsidRPr="00C86EFB" w:rsidRDefault="00BA3277" w:rsidP="00BA3277">
      <w:pPr>
        <w:spacing w:before="200" w:after="120" w:line="276" w:lineRule="auto"/>
        <w:jc w:val="both"/>
        <w:rPr>
          <w:rFonts w:ascii="Arial" w:eastAsia="Calibri" w:hAnsi="Arial" w:cs="Arial"/>
          <w:sz w:val="20"/>
          <w:lang w:val="es-ES"/>
        </w:rPr>
      </w:pPr>
      <w:r w:rsidRPr="00C86EFB">
        <w:rPr>
          <w:rFonts w:ascii="Arial" w:eastAsia="Calibri" w:hAnsi="Arial" w:cs="Arial"/>
          <w:b/>
          <w:sz w:val="20"/>
          <w:lang w:val="es-ES"/>
        </w:rPr>
        <w:t>Fuente:</w:t>
      </w:r>
      <w:r w:rsidRPr="00C86EFB">
        <w:rPr>
          <w:rFonts w:ascii="Arial" w:eastAsia="Calibri" w:hAnsi="Arial" w:cs="Arial"/>
          <w:sz w:val="20"/>
          <w:lang w:val="es-ES"/>
        </w:rPr>
        <w:t xml:space="preserve"> El</w:t>
      </w:r>
      <w:r w:rsidR="00502E72">
        <w:rPr>
          <w:rFonts w:ascii="Arial" w:eastAsia="Calibri" w:hAnsi="Arial" w:cs="Arial"/>
          <w:sz w:val="20"/>
          <w:lang w:val="es-ES"/>
        </w:rPr>
        <w:t>aboración propia en base a los d</w:t>
      </w:r>
      <w:r w:rsidRPr="00C86EFB">
        <w:rPr>
          <w:rFonts w:ascii="Arial" w:eastAsia="Calibri" w:hAnsi="Arial" w:cs="Arial"/>
          <w:sz w:val="20"/>
          <w:lang w:val="es-ES"/>
        </w:rPr>
        <w:t xml:space="preserve">ecretos mencionados en la última columna, disponibles en: </w:t>
      </w:r>
      <w:hyperlink r:id="rId13" w:history="1">
        <w:r w:rsidRPr="00C86EFB">
          <w:rPr>
            <w:rStyle w:val="Hipervnculo"/>
            <w:rFonts w:ascii="Arial" w:eastAsia="Calibri" w:hAnsi="Arial" w:cs="Arial"/>
            <w:sz w:val="20"/>
            <w:lang w:val="es-ES"/>
          </w:rPr>
          <w:t>http://www.gob.gba.gov.ar/dijl/#</w:t>
        </w:r>
      </w:hyperlink>
    </w:p>
    <w:p w:rsidR="00BA3277" w:rsidRPr="00BA3277" w:rsidRDefault="00BA3277" w:rsidP="00CF2E74">
      <w:pPr>
        <w:spacing w:before="200" w:after="120" w:line="276" w:lineRule="auto"/>
        <w:jc w:val="both"/>
        <w:rPr>
          <w:rFonts w:ascii="Arial" w:eastAsia="Calibri" w:hAnsi="Arial" w:cs="Arial"/>
          <w:sz w:val="20"/>
          <w:lang w:val="es-ES"/>
        </w:rPr>
      </w:pPr>
      <w:r w:rsidRPr="00BA3277">
        <w:rPr>
          <w:rFonts w:ascii="Arial" w:eastAsia="Calibri" w:hAnsi="Arial" w:cs="Arial"/>
          <w:b/>
          <w:sz w:val="20"/>
          <w:lang w:val="es-ES"/>
        </w:rPr>
        <w:t>NOTA:</w:t>
      </w:r>
      <w:r w:rsidRPr="00BA3277">
        <w:rPr>
          <w:rFonts w:ascii="Arial" w:eastAsia="Calibri" w:hAnsi="Arial" w:cs="Arial"/>
          <w:sz w:val="20"/>
          <w:lang w:val="es-ES"/>
        </w:rPr>
        <w:t xml:space="preserve"> en la última columna se indica el primer decreto luego de la modificación de la Ley de Ministerios, independientemente de que este implique una modificación total o parcial de la estructura.</w:t>
      </w:r>
    </w:p>
    <w:p w:rsidR="005048FA" w:rsidRPr="00457AD6" w:rsidRDefault="005048FA" w:rsidP="00CF2E74">
      <w:pPr>
        <w:spacing w:before="200" w:after="120" w:line="276" w:lineRule="auto"/>
        <w:jc w:val="both"/>
        <w:rPr>
          <w:rFonts w:ascii="Arial" w:eastAsia="Calibri" w:hAnsi="Arial" w:cs="Arial"/>
          <w:lang w:val="es-ES"/>
        </w:rPr>
      </w:pPr>
    </w:p>
    <w:p w:rsidR="00457AD6" w:rsidRPr="00C24001" w:rsidRDefault="00457AD6" w:rsidP="00C24001">
      <w:pPr>
        <w:pStyle w:val="Prrafodelista"/>
        <w:numPr>
          <w:ilvl w:val="0"/>
          <w:numId w:val="4"/>
        </w:numPr>
        <w:spacing w:before="200" w:after="120" w:line="276" w:lineRule="auto"/>
        <w:jc w:val="both"/>
        <w:rPr>
          <w:rFonts w:ascii="Arial" w:eastAsia="Calibri" w:hAnsi="Arial" w:cs="Arial"/>
          <w:b/>
          <w:lang w:val="es-ES"/>
        </w:rPr>
      </w:pPr>
      <w:r w:rsidRPr="00C24001">
        <w:rPr>
          <w:rFonts w:ascii="Arial" w:eastAsia="Calibri" w:hAnsi="Arial" w:cs="Arial"/>
          <w:b/>
          <w:lang w:val="es-ES"/>
        </w:rPr>
        <w:t>Ley Nº 14.989</w:t>
      </w:r>
      <w:r w:rsidR="00C66450" w:rsidRPr="0024346D">
        <w:rPr>
          <w:rFonts w:ascii="Arial" w:eastAsia="Calibri" w:hAnsi="Arial" w:cs="Arial"/>
          <w:lang w:val="es-ES"/>
        </w:rPr>
        <w:t>(14/12/2017)</w:t>
      </w:r>
    </w:p>
    <w:p w:rsidR="00C24001" w:rsidRPr="00C24001" w:rsidRDefault="00C24001" w:rsidP="00C24001">
      <w:pPr>
        <w:pStyle w:val="Prrafodelista"/>
        <w:spacing w:before="200" w:after="120" w:line="276" w:lineRule="auto"/>
        <w:jc w:val="both"/>
        <w:rPr>
          <w:rFonts w:ascii="Arial" w:eastAsia="Calibri" w:hAnsi="Arial" w:cs="Arial"/>
          <w:b/>
          <w:lang w:val="es-ES"/>
        </w:rPr>
      </w:pPr>
    </w:p>
    <w:p w:rsidR="00C24001" w:rsidRDefault="00C66450" w:rsidP="00C24001">
      <w:pPr>
        <w:pStyle w:val="Prrafodelista"/>
        <w:numPr>
          <w:ilvl w:val="0"/>
          <w:numId w:val="9"/>
        </w:numPr>
        <w:spacing w:before="200" w:after="120" w:line="276" w:lineRule="auto"/>
        <w:jc w:val="both"/>
        <w:rPr>
          <w:rFonts w:ascii="Arial" w:eastAsia="Calibri" w:hAnsi="Arial" w:cs="Arial"/>
          <w:lang w:val="es-ES"/>
        </w:rPr>
      </w:pPr>
      <w:r w:rsidRPr="00C24001">
        <w:rPr>
          <w:rFonts w:ascii="Arial" w:eastAsia="Calibri" w:hAnsi="Arial" w:cs="Arial"/>
          <w:lang w:val="es-ES"/>
        </w:rPr>
        <w:t>C</w:t>
      </w:r>
      <w:r w:rsidR="00457AD6" w:rsidRPr="00C24001">
        <w:rPr>
          <w:rFonts w:ascii="Arial" w:eastAsia="Calibri" w:hAnsi="Arial" w:cs="Arial"/>
          <w:lang w:val="es-ES"/>
        </w:rPr>
        <w:t>reación del Ministerio de Asuntos Públicos</w:t>
      </w:r>
      <w:r w:rsidRPr="00C24001">
        <w:rPr>
          <w:rFonts w:ascii="Arial" w:eastAsia="Calibri" w:hAnsi="Arial" w:cs="Arial"/>
          <w:lang w:val="es-ES"/>
        </w:rPr>
        <w:t xml:space="preserve">, </w:t>
      </w:r>
      <w:r w:rsidR="00457AD6" w:rsidRPr="00C24001">
        <w:rPr>
          <w:rFonts w:ascii="Arial" w:eastAsia="Calibri" w:hAnsi="Arial" w:cs="Arial"/>
          <w:lang w:val="es-ES"/>
        </w:rPr>
        <w:t>continuador de la Secretaría de Comunicación creada por la Ley Nº 14.803</w:t>
      </w:r>
      <w:r>
        <w:rPr>
          <w:rStyle w:val="Refdenotaalpie"/>
          <w:rFonts w:ascii="Arial" w:eastAsia="Calibri" w:hAnsi="Arial" w:cs="Arial"/>
          <w:lang w:val="es-ES"/>
        </w:rPr>
        <w:footnoteReference w:id="11"/>
      </w:r>
      <w:r w:rsidR="00457AD6" w:rsidRPr="00C24001">
        <w:rPr>
          <w:rFonts w:ascii="Arial" w:eastAsia="Calibri" w:hAnsi="Arial" w:cs="Arial"/>
          <w:lang w:val="es-ES"/>
        </w:rPr>
        <w:t xml:space="preserve">. </w:t>
      </w:r>
    </w:p>
    <w:p w:rsidR="00C24001" w:rsidRPr="00C24001" w:rsidRDefault="00C24001" w:rsidP="00C24001">
      <w:pPr>
        <w:pStyle w:val="Prrafodelista"/>
        <w:spacing w:before="200" w:after="120" w:line="276" w:lineRule="auto"/>
        <w:jc w:val="both"/>
        <w:rPr>
          <w:rFonts w:ascii="Arial" w:eastAsia="Calibri" w:hAnsi="Arial" w:cs="Arial"/>
          <w:lang w:val="es-ES"/>
        </w:rPr>
      </w:pPr>
    </w:p>
    <w:p w:rsidR="00457AD6" w:rsidRDefault="00C66450" w:rsidP="00C24001">
      <w:pPr>
        <w:pStyle w:val="Prrafodelista"/>
        <w:numPr>
          <w:ilvl w:val="0"/>
          <w:numId w:val="9"/>
        </w:numPr>
        <w:spacing w:before="200" w:after="120" w:line="276" w:lineRule="auto"/>
        <w:jc w:val="both"/>
        <w:rPr>
          <w:rFonts w:ascii="Arial" w:eastAsia="Calibri" w:hAnsi="Arial" w:cs="Arial"/>
          <w:lang w:val="es-ES"/>
        </w:rPr>
      </w:pPr>
      <w:r w:rsidRPr="00C24001">
        <w:rPr>
          <w:rFonts w:ascii="Arial" w:eastAsia="Calibri" w:hAnsi="Arial" w:cs="Arial"/>
          <w:lang w:val="es-ES"/>
        </w:rPr>
        <w:t>S</w:t>
      </w:r>
      <w:r w:rsidR="00457AD6" w:rsidRPr="00C24001">
        <w:rPr>
          <w:rFonts w:ascii="Arial" w:eastAsia="Calibri" w:hAnsi="Arial" w:cs="Arial"/>
          <w:lang w:val="es-ES"/>
        </w:rPr>
        <w:t xml:space="preserve">e elevó a </w:t>
      </w:r>
      <w:r w:rsidRPr="00C24001">
        <w:rPr>
          <w:rFonts w:ascii="Arial" w:eastAsia="Calibri" w:hAnsi="Arial" w:cs="Arial"/>
          <w:lang w:val="es-ES"/>
        </w:rPr>
        <w:t>14 los Ministerios y</w:t>
      </w:r>
      <w:r w:rsidR="00457AD6" w:rsidRPr="00C24001">
        <w:rPr>
          <w:rFonts w:ascii="Arial" w:eastAsia="Calibri" w:hAnsi="Arial" w:cs="Arial"/>
          <w:lang w:val="es-ES"/>
        </w:rPr>
        <w:t xml:space="preserve"> Secretarías</w:t>
      </w:r>
      <w:r w:rsidRPr="00C24001">
        <w:rPr>
          <w:rFonts w:ascii="Arial" w:eastAsia="Calibri" w:hAnsi="Arial" w:cs="Arial"/>
          <w:lang w:val="es-ES"/>
        </w:rPr>
        <w:t xml:space="preserve"> disminuyeron a 4</w:t>
      </w:r>
      <w:r w:rsidR="00457AD6" w:rsidRPr="00C24001">
        <w:rPr>
          <w:rFonts w:ascii="Arial" w:eastAsia="Calibri" w:hAnsi="Arial" w:cs="Arial"/>
          <w:lang w:val="es-ES"/>
        </w:rPr>
        <w:t>.</w:t>
      </w:r>
    </w:p>
    <w:p w:rsidR="00C24001" w:rsidRPr="00C24001" w:rsidRDefault="00C24001" w:rsidP="00C24001">
      <w:pPr>
        <w:pStyle w:val="Prrafodelista"/>
        <w:rPr>
          <w:rFonts w:ascii="Arial" w:eastAsia="Calibri" w:hAnsi="Arial" w:cs="Arial"/>
          <w:lang w:val="es-ES"/>
        </w:rPr>
      </w:pPr>
    </w:p>
    <w:p w:rsidR="00C24001" w:rsidRDefault="00C66450" w:rsidP="00C24001">
      <w:pPr>
        <w:pStyle w:val="Prrafodelista"/>
        <w:numPr>
          <w:ilvl w:val="0"/>
          <w:numId w:val="9"/>
        </w:numPr>
        <w:spacing w:before="200" w:after="120" w:line="276" w:lineRule="auto"/>
        <w:jc w:val="both"/>
        <w:rPr>
          <w:rFonts w:ascii="Arial" w:eastAsia="Calibri" w:hAnsi="Arial" w:cs="Arial"/>
          <w:lang w:val="es-ES"/>
        </w:rPr>
      </w:pPr>
      <w:r w:rsidRPr="00C24001">
        <w:rPr>
          <w:rFonts w:ascii="Arial" w:eastAsia="Calibri" w:hAnsi="Arial" w:cs="Arial"/>
          <w:lang w:val="es-ES"/>
        </w:rPr>
        <w:t>R</w:t>
      </w:r>
      <w:r w:rsidR="00457AD6" w:rsidRPr="00C24001">
        <w:rPr>
          <w:rFonts w:ascii="Arial" w:eastAsia="Calibri" w:hAnsi="Arial" w:cs="Arial"/>
          <w:lang w:val="es-ES"/>
        </w:rPr>
        <w:t xml:space="preserve">ecaída en la omisión </w:t>
      </w:r>
      <w:r w:rsidRPr="00C24001">
        <w:rPr>
          <w:rFonts w:ascii="Arial" w:eastAsia="Calibri" w:hAnsi="Arial" w:cs="Arial"/>
          <w:lang w:val="es-ES"/>
        </w:rPr>
        <w:t>de las incompatibilidades de los Subsecretarios.</w:t>
      </w:r>
    </w:p>
    <w:p w:rsidR="00C24001" w:rsidRPr="00C24001" w:rsidRDefault="00C24001" w:rsidP="00C24001">
      <w:pPr>
        <w:pStyle w:val="Prrafodelista"/>
        <w:rPr>
          <w:rFonts w:ascii="Arial" w:eastAsia="Calibri" w:hAnsi="Arial" w:cs="Arial"/>
          <w:lang w:val="es-ES"/>
        </w:rPr>
      </w:pPr>
    </w:p>
    <w:p w:rsidR="00457AD6" w:rsidRDefault="00C66450" w:rsidP="00C24001">
      <w:pPr>
        <w:pStyle w:val="Prrafodelista"/>
        <w:numPr>
          <w:ilvl w:val="0"/>
          <w:numId w:val="9"/>
        </w:numPr>
        <w:spacing w:before="200" w:after="120" w:line="276" w:lineRule="auto"/>
        <w:jc w:val="both"/>
        <w:rPr>
          <w:rFonts w:ascii="Arial" w:eastAsia="Calibri" w:hAnsi="Arial" w:cs="Arial"/>
        </w:rPr>
      </w:pPr>
      <w:r w:rsidRPr="00C24001">
        <w:rPr>
          <w:rFonts w:ascii="Arial" w:eastAsia="Calibri" w:hAnsi="Arial" w:cs="Arial"/>
          <w:lang w:val="es-ES"/>
        </w:rPr>
        <w:t>Se des-jerarquizó la</w:t>
      </w:r>
      <w:r w:rsidR="00457AD6" w:rsidRPr="00C24001">
        <w:rPr>
          <w:rFonts w:ascii="Arial" w:eastAsia="Calibri" w:hAnsi="Arial" w:cs="Arial"/>
          <w:lang w:val="es-ES"/>
        </w:rPr>
        <w:t xml:space="preserve"> Asesoría General de Gobierno</w:t>
      </w:r>
      <w:r w:rsidRPr="00C24001">
        <w:rPr>
          <w:rFonts w:ascii="Arial" w:eastAsia="Calibri" w:hAnsi="Arial" w:cs="Arial"/>
        </w:rPr>
        <w:t xml:space="preserve">, que pasó a ser un </w:t>
      </w:r>
      <w:r w:rsidR="00457AD6" w:rsidRPr="00C24001">
        <w:rPr>
          <w:rFonts w:ascii="Arial" w:eastAsia="Calibri" w:hAnsi="Arial" w:cs="Arial"/>
        </w:rPr>
        <w:t>organismo desconcentrado</w:t>
      </w:r>
      <w:r>
        <w:rPr>
          <w:rStyle w:val="Refdenotaalpie"/>
          <w:rFonts w:ascii="Arial" w:eastAsia="Calibri" w:hAnsi="Arial" w:cs="Arial"/>
        </w:rPr>
        <w:footnoteReference w:id="12"/>
      </w:r>
      <w:r w:rsidRPr="00C24001">
        <w:rPr>
          <w:rFonts w:ascii="Arial" w:eastAsia="Calibri" w:hAnsi="Arial" w:cs="Arial"/>
        </w:rPr>
        <w:t xml:space="preserve"> dentro de</w:t>
      </w:r>
      <w:r w:rsidR="00457AD6" w:rsidRPr="00C24001">
        <w:rPr>
          <w:rFonts w:ascii="Arial" w:eastAsia="Calibri" w:hAnsi="Arial" w:cs="Arial"/>
        </w:rPr>
        <w:t xml:space="preserve"> la Secretaría Legal y Técnica de la Gobernación</w:t>
      </w:r>
      <w:r w:rsidR="00457AD6" w:rsidRPr="00457AD6">
        <w:rPr>
          <w:vertAlign w:val="superscript"/>
        </w:rPr>
        <w:footnoteReference w:id="13"/>
      </w:r>
      <w:r w:rsidR="00457AD6" w:rsidRPr="00C24001">
        <w:rPr>
          <w:rFonts w:ascii="Arial" w:eastAsia="Calibri" w:hAnsi="Arial" w:cs="Arial"/>
        </w:rPr>
        <w:t xml:space="preserve">. </w:t>
      </w:r>
      <w:r w:rsidRPr="00C24001">
        <w:rPr>
          <w:rFonts w:ascii="Arial" w:eastAsia="Calibri" w:hAnsi="Arial" w:cs="Arial"/>
        </w:rPr>
        <w:t>L</w:t>
      </w:r>
      <w:r w:rsidR="00814BA1">
        <w:rPr>
          <w:rFonts w:ascii="Arial" w:eastAsia="Calibri" w:hAnsi="Arial" w:cs="Arial"/>
        </w:rPr>
        <w:t>a</w:t>
      </w:r>
      <w:r w:rsidR="00502E72">
        <w:rPr>
          <w:rFonts w:ascii="Arial" w:eastAsia="Calibri" w:hAnsi="Arial" w:cs="Arial"/>
        </w:rPr>
        <w:t xml:space="preserve"> </w:t>
      </w:r>
      <w:r w:rsidRPr="00C24001">
        <w:rPr>
          <w:rFonts w:ascii="Arial" w:eastAsia="Calibri" w:hAnsi="Arial" w:cs="Arial"/>
        </w:rPr>
        <w:lastRenderedPageBreak/>
        <w:t>modificación normativa es</w:t>
      </w:r>
      <w:r w:rsidR="00457AD6" w:rsidRPr="00C24001">
        <w:rPr>
          <w:rFonts w:ascii="Arial" w:eastAsia="Calibri" w:hAnsi="Arial" w:cs="Arial"/>
        </w:rPr>
        <w:t xml:space="preserve"> copia (textual) de la</w:t>
      </w:r>
      <w:r w:rsidRPr="00C24001">
        <w:rPr>
          <w:rFonts w:ascii="Arial" w:eastAsia="Calibri" w:hAnsi="Arial" w:cs="Arial"/>
        </w:rPr>
        <w:t xml:space="preserve"> L</w:t>
      </w:r>
      <w:r w:rsidR="00457AD6" w:rsidRPr="00C24001">
        <w:rPr>
          <w:rFonts w:ascii="Arial" w:eastAsia="Calibri" w:hAnsi="Arial" w:cs="Arial"/>
        </w:rPr>
        <w:t xml:space="preserve">ey nacional Nº 24.667 –1996- que regula </w:t>
      </w:r>
      <w:r w:rsidRPr="00C24001">
        <w:rPr>
          <w:rFonts w:ascii="Arial" w:eastAsia="Calibri" w:hAnsi="Arial" w:cs="Arial"/>
        </w:rPr>
        <w:t xml:space="preserve">a </w:t>
      </w:r>
      <w:r w:rsidR="00457AD6" w:rsidRPr="00C24001">
        <w:rPr>
          <w:rFonts w:ascii="Arial" w:eastAsia="Calibri" w:hAnsi="Arial" w:cs="Arial"/>
        </w:rPr>
        <w:t>la Procuración del Tesoro de la Nación</w:t>
      </w:r>
      <w:r w:rsidR="00457AD6" w:rsidRPr="00457AD6">
        <w:rPr>
          <w:vertAlign w:val="superscript"/>
        </w:rPr>
        <w:footnoteReference w:id="14"/>
      </w:r>
      <w:r w:rsidR="00457AD6" w:rsidRPr="00C24001">
        <w:rPr>
          <w:rFonts w:ascii="Arial" w:eastAsia="Calibri" w:hAnsi="Arial" w:cs="Arial"/>
        </w:rPr>
        <w:t xml:space="preserve">.   </w:t>
      </w:r>
    </w:p>
    <w:p w:rsidR="00C24001" w:rsidRPr="00C24001" w:rsidRDefault="00C24001" w:rsidP="00C24001">
      <w:pPr>
        <w:pStyle w:val="Prrafodelista"/>
        <w:rPr>
          <w:rFonts w:ascii="Arial" w:eastAsia="Calibri" w:hAnsi="Arial" w:cs="Arial"/>
        </w:rPr>
      </w:pPr>
    </w:p>
    <w:p w:rsidR="00C66450" w:rsidRDefault="00C66450" w:rsidP="00C24001">
      <w:pPr>
        <w:pStyle w:val="Prrafodelista"/>
        <w:numPr>
          <w:ilvl w:val="0"/>
          <w:numId w:val="9"/>
        </w:numPr>
        <w:spacing w:before="200" w:after="120" w:line="276" w:lineRule="auto"/>
        <w:jc w:val="both"/>
        <w:rPr>
          <w:rFonts w:ascii="Arial" w:eastAsia="Calibri" w:hAnsi="Arial" w:cs="Arial"/>
        </w:rPr>
      </w:pPr>
      <w:r w:rsidRPr="00C24001">
        <w:rPr>
          <w:rFonts w:ascii="Arial" w:eastAsia="Calibri" w:hAnsi="Arial" w:cs="Arial"/>
        </w:rPr>
        <w:t>Adm. Descentralizada: c</w:t>
      </w:r>
      <w:r w:rsidR="00457AD6" w:rsidRPr="00C24001">
        <w:rPr>
          <w:rFonts w:ascii="Arial" w:eastAsia="Calibri" w:hAnsi="Arial" w:cs="Arial"/>
        </w:rPr>
        <w:t>reación del Organismo Provincial de Integración Social y Urbana (OPISU), entidad autárquica en la órbita del Ministerio de Jefatura de Gabinete de Ministros</w:t>
      </w:r>
      <w:r w:rsidR="00457AD6" w:rsidRPr="00457AD6">
        <w:rPr>
          <w:vertAlign w:val="superscript"/>
        </w:rPr>
        <w:footnoteReference w:id="15"/>
      </w:r>
      <w:r w:rsidR="00457AD6" w:rsidRPr="00C24001">
        <w:rPr>
          <w:rFonts w:ascii="Arial" w:eastAsia="Calibri" w:hAnsi="Arial" w:cs="Arial"/>
        </w:rPr>
        <w:t xml:space="preserve">, </w:t>
      </w:r>
      <w:r w:rsidRPr="00C24001">
        <w:rPr>
          <w:rFonts w:ascii="Arial" w:eastAsia="Calibri" w:hAnsi="Arial" w:cs="Arial"/>
        </w:rPr>
        <w:t>cuyas</w:t>
      </w:r>
      <w:r w:rsidR="00457AD6" w:rsidRPr="00C24001">
        <w:rPr>
          <w:rFonts w:ascii="Arial" w:eastAsia="Calibri" w:hAnsi="Arial" w:cs="Arial"/>
        </w:rPr>
        <w:t xml:space="preserve"> atribuciones giran en torno a los proyectos de urbanización “…de las villas, asentamientos y núcleos habitacionales transitorios”</w:t>
      </w:r>
      <w:r w:rsidR="00457AD6" w:rsidRPr="00457AD6">
        <w:rPr>
          <w:vertAlign w:val="superscript"/>
        </w:rPr>
        <w:footnoteReference w:id="16"/>
      </w:r>
      <w:r w:rsidR="00C24001">
        <w:rPr>
          <w:rFonts w:ascii="Arial" w:eastAsia="Calibri" w:hAnsi="Arial" w:cs="Arial"/>
        </w:rPr>
        <w:t>.</w:t>
      </w:r>
    </w:p>
    <w:p w:rsidR="00C24001" w:rsidRPr="00C24001" w:rsidRDefault="00C24001" w:rsidP="00C24001">
      <w:pPr>
        <w:pStyle w:val="Prrafodelista"/>
        <w:rPr>
          <w:rFonts w:ascii="Arial" w:eastAsia="Calibri" w:hAnsi="Arial" w:cs="Arial"/>
        </w:rPr>
      </w:pPr>
    </w:p>
    <w:p w:rsidR="00CF2E74" w:rsidRPr="00C24001" w:rsidRDefault="00C24001" w:rsidP="00C24001">
      <w:pPr>
        <w:pStyle w:val="Prrafodelista"/>
        <w:numPr>
          <w:ilvl w:val="0"/>
          <w:numId w:val="9"/>
        </w:numPr>
        <w:spacing w:before="200" w:after="120" w:line="276" w:lineRule="auto"/>
        <w:jc w:val="both"/>
        <w:rPr>
          <w:rFonts w:ascii="Arial" w:eastAsia="Calibri" w:hAnsi="Arial" w:cs="Arial"/>
          <w:lang w:val="es-ES"/>
        </w:rPr>
      </w:pPr>
      <w:r>
        <w:rPr>
          <w:rFonts w:ascii="Arial" w:eastAsia="Calibri" w:hAnsi="Arial" w:cs="Arial"/>
        </w:rPr>
        <w:t>A</w:t>
      </w:r>
      <w:r w:rsidR="00CF2E74" w:rsidRPr="00C24001">
        <w:rPr>
          <w:rFonts w:ascii="Arial" w:eastAsia="Calibri" w:hAnsi="Arial" w:cs="Arial"/>
        </w:rPr>
        <w:t>rt.</w:t>
      </w:r>
      <w:r w:rsidR="00457AD6" w:rsidRPr="00C24001">
        <w:rPr>
          <w:rFonts w:ascii="Arial" w:eastAsia="Calibri" w:hAnsi="Arial" w:cs="Arial"/>
        </w:rPr>
        <w:t xml:space="preserve"> 51</w:t>
      </w:r>
      <w:r>
        <w:rPr>
          <w:rFonts w:ascii="Arial" w:eastAsia="Calibri" w:hAnsi="Arial" w:cs="Arial"/>
        </w:rPr>
        <w:t xml:space="preserve">: </w:t>
      </w:r>
      <w:r w:rsidR="00CF2E74" w:rsidRPr="00C24001">
        <w:rPr>
          <w:rFonts w:ascii="Arial" w:eastAsia="Calibri" w:hAnsi="Arial" w:cs="Arial"/>
          <w:lang w:val="es-ES"/>
        </w:rPr>
        <w:t>amplia delegación al Poder Ejecutivo para modificar sustancialmente el contenido de la ley de ministerios, en desmedro de las atribuciones que la Constitución y en abierta violación de la prohibición expresa de su artículo 45</w:t>
      </w:r>
      <w:r w:rsidR="00CF2E74">
        <w:rPr>
          <w:rStyle w:val="Refdenotaalpie"/>
          <w:rFonts w:ascii="Arial" w:eastAsia="Calibri" w:hAnsi="Arial" w:cs="Arial"/>
          <w:lang w:val="es-ES"/>
        </w:rPr>
        <w:footnoteReference w:id="17"/>
      </w:r>
      <w:r w:rsidR="00CF2E74" w:rsidRPr="00C24001">
        <w:rPr>
          <w:rFonts w:ascii="Arial" w:eastAsia="Calibri" w:hAnsi="Arial" w:cs="Arial"/>
          <w:lang w:val="es-ES"/>
        </w:rPr>
        <w:t xml:space="preserve">. </w:t>
      </w:r>
    </w:p>
    <w:p w:rsidR="00BA3277" w:rsidRDefault="00BA3277" w:rsidP="00CF2E74">
      <w:pPr>
        <w:autoSpaceDE w:val="0"/>
        <w:autoSpaceDN w:val="0"/>
        <w:adjustRightInd w:val="0"/>
        <w:spacing w:before="200" w:after="120" w:line="276" w:lineRule="auto"/>
        <w:jc w:val="both"/>
        <w:rPr>
          <w:rFonts w:ascii="Arial" w:eastAsia="Times New Roman" w:hAnsi="Arial" w:cs="Arial"/>
          <w:lang w:val="es-ES" w:eastAsia="es-AR"/>
        </w:rPr>
      </w:pPr>
      <w:r w:rsidRPr="00BA3277">
        <w:rPr>
          <w:rFonts w:ascii="Arial" w:eastAsia="Times New Roman" w:hAnsi="Arial" w:cs="Arial"/>
          <w:lang w:val="es-ES" w:eastAsia="es-AR"/>
        </w:rPr>
        <w:t>Luego</w:t>
      </w:r>
      <w:r>
        <w:rPr>
          <w:rFonts w:ascii="Arial" w:eastAsia="Times New Roman" w:hAnsi="Arial" w:cs="Arial"/>
          <w:lang w:val="es-ES" w:eastAsia="es-AR"/>
        </w:rPr>
        <w:t xml:space="preserve"> de la sanción de la última Ley de Ministerios, las estructuras se modificaron según el siguiente detalle:</w:t>
      </w:r>
    </w:p>
    <w:p w:rsidR="00BA3277" w:rsidRDefault="00BA3277" w:rsidP="00CF2E74">
      <w:pPr>
        <w:autoSpaceDE w:val="0"/>
        <w:autoSpaceDN w:val="0"/>
        <w:adjustRightInd w:val="0"/>
        <w:spacing w:before="200" w:after="120" w:line="276" w:lineRule="auto"/>
        <w:jc w:val="both"/>
        <w:rPr>
          <w:rFonts w:ascii="Arial" w:eastAsia="Times New Roman" w:hAnsi="Arial" w:cs="Arial"/>
          <w:lang w:val="es-ES" w:eastAsia="es-AR"/>
        </w:rPr>
      </w:pPr>
      <w:r>
        <w:rPr>
          <w:noProof/>
          <w:lang w:eastAsia="es-AR"/>
        </w:rPr>
        <w:lastRenderedPageBreak/>
        <w:drawing>
          <wp:inline distT="0" distB="0" distL="0" distR="0">
            <wp:extent cx="5731510" cy="39985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998595"/>
                    </a:xfrm>
                    <a:prstGeom prst="rect">
                      <a:avLst/>
                    </a:prstGeom>
                  </pic:spPr>
                </pic:pic>
              </a:graphicData>
            </a:graphic>
          </wp:inline>
        </w:drawing>
      </w:r>
    </w:p>
    <w:p w:rsidR="00BA3277" w:rsidRPr="00C86EFB" w:rsidRDefault="00BA3277" w:rsidP="00BA3277">
      <w:pPr>
        <w:spacing w:before="200" w:after="120" w:line="276" w:lineRule="auto"/>
        <w:jc w:val="both"/>
        <w:rPr>
          <w:rFonts w:ascii="Arial" w:eastAsia="Calibri" w:hAnsi="Arial" w:cs="Arial"/>
          <w:sz w:val="20"/>
          <w:lang w:val="es-ES"/>
        </w:rPr>
      </w:pPr>
      <w:r w:rsidRPr="00C86EFB">
        <w:rPr>
          <w:rFonts w:ascii="Arial" w:eastAsia="Calibri" w:hAnsi="Arial" w:cs="Arial"/>
          <w:b/>
          <w:sz w:val="20"/>
          <w:lang w:val="es-ES"/>
        </w:rPr>
        <w:t>Fuente:</w:t>
      </w:r>
      <w:r w:rsidRPr="00C86EFB">
        <w:rPr>
          <w:rFonts w:ascii="Arial" w:eastAsia="Calibri" w:hAnsi="Arial" w:cs="Arial"/>
          <w:sz w:val="20"/>
          <w:lang w:val="es-ES"/>
        </w:rPr>
        <w:t xml:space="preserve"> Elaboración propia en base a los Decretos mencionados en la última columna, disponibles en: </w:t>
      </w:r>
      <w:hyperlink r:id="rId15" w:history="1">
        <w:r w:rsidRPr="00C86EFB">
          <w:rPr>
            <w:rStyle w:val="Hipervnculo"/>
            <w:rFonts w:ascii="Arial" w:eastAsia="Calibri" w:hAnsi="Arial" w:cs="Arial"/>
            <w:sz w:val="20"/>
            <w:lang w:val="es-ES"/>
          </w:rPr>
          <w:t>http://www.gob.gba.gov.ar/dijl/#</w:t>
        </w:r>
      </w:hyperlink>
    </w:p>
    <w:p w:rsidR="00BA3277" w:rsidRDefault="00BA3277" w:rsidP="00CF2E74">
      <w:pPr>
        <w:autoSpaceDE w:val="0"/>
        <w:autoSpaceDN w:val="0"/>
        <w:adjustRightInd w:val="0"/>
        <w:spacing w:before="200" w:after="120" w:line="276" w:lineRule="auto"/>
        <w:jc w:val="both"/>
        <w:rPr>
          <w:rFonts w:ascii="Arial" w:eastAsia="Times New Roman" w:hAnsi="Arial" w:cs="Arial"/>
          <w:lang w:val="es-ES" w:eastAsia="es-AR"/>
        </w:rPr>
      </w:pPr>
    </w:p>
    <w:p w:rsidR="00502E72" w:rsidRDefault="00502E72">
      <w:pPr>
        <w:rPr>
          <w:rFonts w:ascii="Arial" w:eastAsia="Times New Roman" w:hAnsi="Arial" w:cs="Arial"/>
          <w:lang w:val="es-ES" w:eastAsia="es-AR"/>
        </w:rPr>
      </w:pPr>
      <w:r>
        <w:rPr>
          <w:rFonts w:ascii="Arial" w:eastAsia="Times New Roman" w:hAnsi="Arial" w:cs="Arial"/>
          <w:lang w:val="es-ES" w:eastAsia="es-AR"/>
        </w:rPr>
        <w:br w:type="page"/>
      </w:r>
    </w:p>
    <w:p w:rsidR="00502E72" w:rsidRPr="00591607" w:rsidRDefault="00591607" w:rsidP="00CF2E74">
      <w:pPr>
        <w:autoSpaceDE w:val="0"/>
        <w:autoSpaceDN w:val="0"/>
        <w:adjustRightInd w:val="0"/>
        <w:spacing w:before="200" w:after="120" w:line="276" w:lineRule="auto"/>
        <w:jc w:val="both"/>
        <w:rPr>
          <w:rFonts w:ascii="Arial" w:eastAsia="Times New Roman" w:hAnsi="Arial" w:cs="Arial"/>
          <w:b/>
          <w:lang w:val="es-ES" w:eastAsia="es-AR"/>
        </w:rPr>
      </w:pPr>
      <w:r>
        <w:rPr>
          <w:rFonts w:ascii="Arial" w:eastAsia="Times New Roman" w:hAnsi="Arial" w:cs="Arial"/>
          <w:b/>
          <w:lang w:val="es-ES" w:eastAsia="es-AR"/>
        </w:rPr>
        <w:lastRenderedPageBreak/>
        <w:t>Consideraciones preliminares</w:t>
      </w:r>
    </w:p>
    <w:p w:rsidR="00591607" w:rsidRDefault="00591607" w:rsidP="00CF2E74">
      <w:pPr>
        <w:autoSpaceDE w:val="0"/>
        <w:autoSpaceDN w:val="0"/>
        <w:adjustRightInd w:val="0"/>
        <w:spacing w:before="200" w:after="120" w:line="276" w:lineRule="auto"/>
        <w:jc w:val="both"/>
        <w:rPr>
          <w:rFonts w:ascii="Arial" w:eastAsia="Times New Roman" w:hAnsi="Arial" w:cs="Arial"/>
          <w:lang w:val="es-ES" w:eastAsia="es-AR"/>
        </w:rPr>
      </w:pPr>
    </w:p>
    <w:p w:rsidR="00BA3277" w:rsidRDefault="00BA3277" w:rsidP="00CF2E74">
      <w:pPr>
        <w:autoSpaceDE w:val="0"/>
        <w:autoSpaceDN w:val="0"/>
        <w:adjustRightInd w:val="0"/>
        <w:spacing w:before="200" w:after="120" w:line="276" w:lineRule="auto"/>
        <w:jc w:val="both"/>
        <w:rPr>
          <w:rFonts w:ascii="Arial" w:eastAsia="Times New Roman" w:hAnsi="Arial" w:cs="Arial"/>
          <w:lang w:val="es-ES" w:eastAsia="es-AR"/>
        </w:rPr>
      </w:pPr>
      <w:r>
        <w:rPr>
          <w:rFonts w:ascii="Arial" w:eastAsia="Times New Roman" w:hAnsi="Arial" w:cs="Arial"/>
          <w:lang w:val="es-ES" w:eastAsia="es-AR"/>
        </w:rPr>
        <w:t>Como consecuencia d</w:t>
      </w:r>
      <w:r w:rsidR="00502E72">
        <w:rPr>
          <w:rFonts w:ascii="Arial" w:eastAsia="Times New Roman" w:hAnsi="Arial" w:cs="Arial"/>
          <w:lang w:val="es-ES" w:eastAsia="es-AR"/>
        </w:rPr>
        <w:t>e las sucesivas modificaciones de</w:t>
      </w:r>
      <w:r>
        <w:rPr>
          <w:rFonts w:ascii="Arial" w:eastAsia="Times New Roman" w:hAnsi="Arial" w:cs="Arial"/>
          <w:lang w:val="es-ES" w:eastAsia="es-AR"/>
        </w:rPr>
        <w:t xml:space="preserve"> la Ley de Ministerios, las estructuras de los Ministerios y Secretarías evolucionaron según el siguiente detalle:</w:t>
      </w:r>
    </w:p>
    <w:tbl>
      <w:tblPr>
        <w:tblW w:w="7800" w:type="dxa"/>
        <w:tblInd w:w="75" w:type="dxa"/>
        <w:tblCellMar>
          <w:left w:w="70" w:type="dxa"/>
          <w:right w:w="70" w:type="dxa"/>
        </w:tblCellMar>
        <w:tblLook w:val="04A0" w:firstRow="1" w:lastRow="0" w:firstColumn="1" w:lastColumn="0" w:noHBand="0" w:noVBand="1"/>
      </w:tblPr>
      <w:tblGrid>
        <w:gridCol w:w="1580"/>
        <w:gridCol w:w="1200"/>
        <w:gridCol w:w="1420"/>
        <w:gridCol w:w="1200"/>
        <w:gridCol w:w="1200"/>
        <w:gridCol w:w="1200"/>
      </w:tblGrid>
      <w:tr w:rsidR="007E5EAC" w:rsidRPr="00527DB5" w:rsidTr="00641F06">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Leyes</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Ministro</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 xml:space="preserve">Subsecretario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Dir. Pcial</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Director</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Total</w:t>
            </w:r>
          </w:p>
        </w:tc>
      </w:tr>
      <w:tr w:rsidR="007E5EAC" w:rsidRPr="00527DB5" w:rsidTr="00641F06">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14803</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18</w:t>
            </w:r>
          </w:p>
        </w:tc>
        <w:tc>
          <w:tcPr>
            <w:tcW w:w="142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66</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238</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635</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957</w:t>
            </w:r>
          </w:p>
        </w:tc>
      </w:tr>
      <w:tr w:rsidR="007E5EAC" w:rsidRPr="00527DB5" w:rsidTr="00641F06">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14832</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19</w:t>
            </w:r>
          </w:p>
        </w:tc>
        <w:tc>
          <w:tcPr>
            <w:tcW w:w="142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73</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243</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652</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987</w:t>
            </w:r>
          </w:p>
        </w:tc>
      </w:tr>
      <w:tr w:rsidR="007E5EAC" w:rsidRPr="00527DB5" w:rsidTr="00641F06">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14853</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19</w:t>
            </w:r>
          </w:p>
        </w:tc>
        <w:tc>
          <w:tcPr>
            <w:tcW w:w="142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76</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258</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709</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1062</w:t>
            </w:r>
          </w:p>
        </w:tc>
      </w:tr>
      <w:tr w:rsidR="007E5EAC" w:rsidRPr="00527DB5" w:rsidTr="00641F06">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b/>
                <w:bCs/>
                <w:color w:val="000000"/>
                <w:lang w:eastAsia="es-AR"/>
              </w:rPr>
            </w:pPr>
            <w:r w:rsidRPr="00527DB5">
              <w:rPr>
                <w:rFonts w:ascii="Calibri" w:eastAsia="Times New Roman" w:hAnsi="Calibri" w:cs="Times New Roman"/>
                <w:b/>
                <w:bCs/>
                <w:color w:val="000000"/>
                <w:lang w:eastAsia="es-AR"/>
              </w:rPr>
              <w:t>14989</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19</w:t>
            </w:r>
          </w:p>
        </w:tc>
        <w:tc>
          <w:tcPr>
            <w:tcW w:w="142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65</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213</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614</w:t>
            </w:r>
          </w:p>
        </w:tc>
        <w:tc>
          <w:tcPr>
            <w:tcW w:w="1200" w:type="dxa"/>
            <w:tcBorders>
              <w:top w:val="nil"/>
              <w:left w:val="nil"/>
              <w:bottom w:val="single" w:sz="4" w:space="0" w:color="auto"/>
              <w:right w:val="single" w:sz="4" w:space="0" w:color="auto"/>
            </w:tcBorders>
            <w:shd w:val="clear" w:color="auto" w:fill="auto"/>
            <w:noWrap/>
            <w:vAlign w:val="bottom"/>
            <w:hideMark/>
          </w:tcPr>
          <w:p w:rsidR="007E5EAC" w:rsidRPr="00527DB5" w:rsidRDefault="007E5EAC" w:rsidP="00641F06">
            <w:pPr>
              <w:spacing w:after="0" w:line="240" w:lineRule="auto"/>
              <w:jc w:val="center"/>
              <w:rPr>
                <w:rFonts w:ascii="Calibri" w:eastAsia="Times New Roman" w:hAnsi="Calibri" w:cs="Times New Roman"/>
                <w:color w:val="000000"/>
                <w:lang w:eastAsia="es-AR"/>
              </w:rPr>
            </w:pPr>
            <w:r w:rsidRPr="00527DB5">
              <w:rPr>
                <w:rFonts w:ascii="Calibri" w:eastAsia="Times New Roman" w:hAnsi="Calibri" w:cs="Times New Roman"/>
                <w:color w:val="000000"/>
                <w:lang w:eastAsia="es-AR"/>
              </w:rPr>
              <w:t>911</w:t>
            </w:r>
          </w:p>
        </w:tc>
      </w:tr>
    </w:tbl>
    <w:p w:rsidR="00BA3277" w:rsidRPr="00BA3277" w:rsidRDefault="00BA3277" w:rsidP="00CF2E74">
      <w:pPr>
        <w:autoSpaceDE w:val="0"/>
        <w:autoSpaceDN w:val="0"/>
        <w:adjustRightInd w:val="0"/>
        <w:spacing w:before="200" w:after="120" w:line="276" w:lineRule="auto"/>
        <w:jc w:val="both"/>
        <w:rPr>
          <w:rFonts w:ascii="Arial" w:eastAsia="Times New Roman" w:hAnsi="Arial" w:cs="Arial"/>
          <w:sz w:val="20"/>
          <w:lang w:val="es-ES" w:eastAsia="es-AR"/>
        </w:rPr>
      </w:pPr>
      <w:bookmarkStart w:id="0" w:name="_GoBack"/>
      <w:bookmarkEnd w:id="0"/>
      <w:r w:rsidRPr="00BA3277">
        <w:rPr>
          <w:rFonts w:ascii="Arial" w:eastAsia="Times New Roman" w:hAnsi="Arial" w:cs="Arial"/>
          <w:b/>
          <w:sz w:val="20"/>
          <w:lang w:val="es-ES" w:eastAsia="es-AR"/>
        </w:rPr>
        <w:t>Fuente:</w:t>
      </w:r>
      <w:r w:rsidRPr="00BA3277">
        <w:rPr>
          <w:rFonts w:ascii="Arial" w:eastAsia="Times New Roman" w:hAnsi="Arial" w:cs="Arial"/>
          <w:sz w:val="20"/>
          <w:lang w:val="es-ES" w:eastAsia="es-AR"/>
        </w:rPr>
        <w:t xml:space="preserve"> Totales cuadros anteriores.</w:t>
      </w:r>
    </w:p>
    <w:p w:rsidR="004E62A8" w:rsidRDefault="004E62A8" w:rsidP="00CF2E74">
      <w:pPr>
        <w:autoSpaceDE w:val="0"/>
        <w:autoSpaceDN w:val="0"/>
        <w:adjustRightInd w:val="0"/>
        <w:spacing w:before="200" w:after="120" w:line="276" w:lineRule="auto"/>
        <w:jc w:val="both"/>
        <w:rPr>
          <w:rFonts w:ascii="Arial" w:eastAsia="Times New Roman" w:hAnsi="Arial" w:cs="Arial"/>
          <w:lang w:val="es-ES" w:eastAsia="es-AR"/>
        </w:rPr>
      </w:pPr>
    </w:p>
    <w:p w:rsidR="004E62A8" w:rsidRDefault="004E62A8">
      <w:pPr>
        <w:rPr>
          <w:rFonts w:ascii="Arial" w:eastAsia="Times New Roman" w:hAnsi="Arial" w:cs="Arial"/>
          <w:lang w:val="es-ES" w:eastAsia="es-AR"/>
        </w:rPr>
      </w:pPr>
    </w:p>
    <w:p w:rsidR="00BA3277" w:rsidRDefault="00BA3277" w:rsidP="00CF2E74">
      <w:pPr>
        <w:autoSpaceDE w:val="0"/>
        <w:autoSpaceDN w:val="0"/>
        <w:adjustRightInd w:val="0"/>
        <w:spacing w:before="200" w:after="120" w:line="276" w:lineRule="auto"/>
        <w:jc w:val="both"/>
        <w:rPr>
          <w:rFonts w:ascii="Arial" w:eastAsia="Times New Roman" w:hAnsi="Arial" w:cs="Arial"/>
          <w:lang w:val="es-ES" w:eastAsia="es-AR"/>
        </w:rPr>
      </w:pPr>
      <w:r>
        <w:rPr>
          <w:rFonts w:ascii="Arial" w:eastAsia="Times New Roman" w:hAnsi="Arial" w:cs="Arial"/>
          <w:lang w:val="es-ES" w:eastAsia="es-AR"/>
        </w:rPr>
        <w:t>Gráficamente:</w:t>
      </w:r>
    </w:p>
    <w:p w:rsidR="00BA3277" w:rsidRDefault="004E62A8" w:rsidP="00CF2E74">
      <w:pPr>
        <w:autoSpaceDE w:val="0"/>
        <w:autoSpaceDN w:val="0"/>
        <w:adjustRightInd w:val="0"/>
        <w:spacing w:before="200" w:after="120" w:line="276" w:lineRule="auto"/>
        <w:jc w:val="both"/>
        <w:rPr>
          <w:rFonts w:ascii="Arial" w:eastAsia="Times New Roman" w:hAnsi="Arial" w:cs="Arial"/>
          <w:lang w:val="es-ES" w:eastAsia="es-AR"/>
        </w:rPr>
      </w:pPr>
      <w:r w:rsidRPr="004E62A8">
        <w:rPr>
          <w:rFonts w:ascii="Arial" w:eastAsia="Times New Roman" w:hAnsi="Arial" w:cs="Arial"/>
          <w:noProof/>
          <w:lang w:eastAsia="es-AR"/>
        </w:rPr>
        <w:drawing>
          <wp:inline distT="0" distB="0" distL="0" distR="0">
            <wp:extent cx="4572000" cy="2743200"/>
            <wp:effectExtent l="19050" t="0" r="1905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3277" w:rsidRPr="00591607" w:rsidRDefault="004E62A8" w:rsidP="00CF2E74">
      <w:pPr>
        <w:autoSpaceDE w:val="0"/>
        <w:autoSpaceDN w:val="0"/>
        <w:adjustRightInd w:val="0"/>
        <w:spacing w:before="200" w:after="120" w:line="276" w:lineRule="auto"/>
        <w:jc w:val="both"/>
        <w:rPr>
          <w:rFonts w:ascii="Arial" w:eastAsia="Times New Roman" w:hAnsi="Arial" w:cs="Arial"/>
          <w:sz w:val="20"/>
          <w:szCs w:val="20"/>
          <w:lang w:val="es-ES" w:eastAsia="es-AR"/>
        </w:rPr>
      </w:pPr>
      <w:r w:rsidRPr="00591607">
        <w:rPr>
          <w:rFonts w:ascii="Arial" w:eastAsia="Times New Roman" w:hAnsi="Arial" w:cs="Arial"/>
          <w:b/>
          <w:sz w:val="20"/>
          <w:szCs w:val="20"/>
          <w:lang w:val="es-ES" w:eastAsia="es-AR"/>
        </w:rPr>
        <w:t>Fuente:</w:t>
      </w:r>
      <w:r w:rsidR="00502E72" w:rsidRPr="00591607">
        <w:rPr>
          <w:rFonts w:ascii="Arial" w:eastAsia="Times New Roman" w:hAnsi="Arial" w:cs="Arial"/>
          <w:sz w:val="20"/>
          <w:szCs w:val="20"/>
          <w:lang w:val="es-ES" w:eastAsia="es-AR"/>
        </w:rPr>
        <w:t xml:space="preserve"> </w:t>
      </w:r>
      <w:r w:rsidRPr="00591607">
        <w:rPr>
          <w:rFonts w:ascii="Arial" w:eastAsia="Times New Roman" w:hAnsi="Arial" w:cs="Arial"/>
          <w:sz w:val="20"/>
          <w:szCs w:val="20"/>
          <w:lang w:val="es-ES" w:eastAsia="es-AR"/>
        </w:rPr>
        <w:t>cuadro anterior.</w:t>
      </w:r>
    </w:p>
    <w:p w:rsidR="00BA3277" w:rsidRDefault="00BA3277" w:rsidP="00CF2E74">
      <w:pPr>
        <w:autoSpaceDE w:val="0"/>
        <w:autoSpaceDN w:val="0"/>
        <w:adjustRightInd w:val="0"/>
        <w:spacing w:before="200" w:after="120" w:line="276" w:lineRule="auto"/>
        <w:jc w:val="both"/>
        <w:rPr>
          <w:rFonts w:ascii="Arial" w:eastAsia="Times New Roman" w:hAnsi="Arial" w:cs="Arial"/>
          <w:lang w:val="es-ES" w:eastAsia="es-AR"/>
        </w:rPr>
      </w:pPr>
    </w:p>
    <w:p w:rsidR="00502E72" w:rsidRDefault="00502E72" w:rsidP="00CF2E74">
      <w:pPr>
        <w:autoSpaceDE w:val="0"/>
        <w:autoSpaceDN w:val="0"/>
        <w:adjustRightInd w:val="0"/>
        <w:spacing w:before="200" w:after="120" w:line="276" w:lineRule="auto"/>
        <w:jc w:val="both"/>
        <w:rPr>
          <w:rFonts w:ascii="Arial" w:eastAsia="Times New Roman" w:hAnsi="Arial" w:cs="Arial"/>
          <w:lang w:val="es-ES" w:eastAsia="es-AR"/>
        </w:rPr>
      </w:pPr>
    </w:p>
    <w:p w:rsidR="00502E72" w:rsidRDefault="00502E72" w:rsidP="00502E72">
      <w:pPr>
        <w:autoSpaceDE w:val="0"/>
        <w:autoSpaceDN w:val="0"/>
        <w:adjustRightInd w:val="0"/>
        <w:spacing w:after="0" w:line="240" w:lineRule="auto"/>
        <w:jc w:val="both"/>
        <w:rPr>
          <w:rFonts w:ascii="Arial" w:eastAsia="Times New Roman" w:hAnsi="Arial" w:cs="Arial"/>
          <w:lang w:val="es-ES" w:eastAsia="es-AR"/>
        </w:rPr>
      </w:pPr>
      <w:r>
        <w:rPr>
          <w:rFonts w:ascii="Arial" w:eastAsia="Times New Roman" w:hAnsi="Arial" w:cs="Arial"/>
          <w:lang w:val="es-ES" w:eastAsia="es-AR"/>
        </w:rPr>
        <w:t>Observatorio del Estado Provincial</w:t>
      </w:r>
    </w:p>
    <w:p w:rsidR="00502E72" w:rsidRDefault="00502E72" w:rsidP="00502E72">
      <w:pPr>
        <w:autoSpaceDE w:val="0"/>
        <w:autoSpaceDN w:val="0"/>
        <w:adjustRightInd w:val="0"/>
        <w:spacing w:after="0" w:line="240" w:lineRule="auto"/>
        <w:jc w:val="both"/>
        <w:rPr>
          <w:rFonts w:ascii="Arial" w:eastAsia="Times New Roman" w:hAnsi="Arial" w:cs="Arial"/>
          <w:lang w:val="es-ES" w:eastAsia="es-AR"/>
        </w:rPr>
      </w:pPr>
      <w:r>
        <w:rPr>
          <w:rFonts w:ascii="Arial" w:eastAsia="Times New Roman" w:hAnsi="Arial" w:cs="Arial"/>
          <w:lang w:val="es-ES" w:eastAsia="es-AR"/>
        </w:rPr>
        <w:t>Instituto Patria</w:t>
      </w:r>
    </w:p>
    <w:p w:rsidR="00502E72" w:rsidRDefault="00502E72" w:rsidP="00502E72">
      <w:pPr>
        <w:autoSpaceDE w:val="0"/>
        <w:autoSpaceDN w:val="0"/>
        <w:adjustRightInd w:val="0"/>
        <w:spacing w:after="0" w:line="240" w:lineRule="auto"/>
        <w:jc w:val="both"/>
        <w:rPr>
          <w:rFonts w:ascii="Arial" w:eastAsia="Times New Roman" w:hAnsi="Arial" w:cs="Arial"/>
          <w:lang w:val="es-ES" w:eastAsia="es-AR"/>
        </w:rPr>
      </w:pPr>
      <w:r>
        <w:rPr>
          <w:rFonts w:ascii="Arial" w:eastAsia="Times New Roman" w:hAnsi="Arial" w:cs="Arial"/>
          <w:lang w:val="es-ES" w:eastAsia="es-AR"/>
        </w:rPr>
        <w:t>Diciembre 2018.</w:t>
      </w:r>
    </w:p>
    <w:p w:rsidR="00BA3277" w:rsidRPr="00BA3277" w:rsidRDefault="00BA3277" w:rsidP="00502E72">
      <w:pPr>
        <w:autoSpaceDE w:val="0"/>
        <w:autoSpaceDN w:val="0"/>
        <w:adjustRightInd w:val="0"/>
        <w:spacing w:after="0" w:line="240" w:lineRule="auto"/>
        <w:jc w:val="both"/>
        <w:rPr>
          <w:rFonts w:ascii="Arial" w:eastAsia="Times New Roman" w:hAnsi="Arial" w:cs="Arial"/>
          <w:lang w:val="es-ES" w:eastAsia="es-AR"/>
        </w:rPr>
      </w:pPr>
    </w:p>
    <w:sectPr w:rsidR="00BA3277" w:rsidRPr="00BA3277" w:rsidSect="00502E72">
      <w:footerReference w:type="defaul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C1" w:rsidRDefault="002A5BC1" w:rsidP="00472245">
      <w:pPr>
        <w:spacing w:after="0" w:line="240" w:lineRule="auto"/>
      </w:pPr>
      <w:r>
        <w:separator/>
      </w:r>
    </w:p>
  </w:endnote>
  <w:endnote w:type="continuationSeparator" w:id="0">
    <w:p w:rsidR="002A5BC1" w:rsidRDefault="002A5BC1" w:rsidP="0047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80547"/>
      <w:docPartObj>
        <w:docPartGallery w:val="Page Numbers (Bottom of Page)"/>
        <w:docPartUnique/>
      </w:docPartObj>
    </w:sdtPr>
    <w:sdtEndPr/>
    <w:sdtContent>
      <w:p w:rsidR="004E62A8" w:rsidRDefault="0019396B">
        <w:pPr>
          <w:pStyle w:val="Piedepgina"/>
          <w:jc w:val="right"/>
        </w:pPr>
        <w:r>
          <w:fldChar w:fldCharType="begin"/>
        </w:r>
        <w:r>
          <w:instrText xml:space="preserve"> PAGE   \* MERGEFORMAT </w:instrText>
        </w:r>
        <w:r>
          <w:fldChar w:fldCharType="separate"/>
        </w:r>
        <w:r w:rsidR="007E5EAC">
          <w:rPr>
            <w:noProof/>
          </w:rPr>
          <w:t>7</w:t>
        </w:r>
        <w:r>
          <w:rPr>
            <w:noProof/>
          </w:rPr>
          <w:fldChar w:fldCharType="end"/>
        </w:r>
      </w:p>
    </w:sdtContent>
  </w:sdt>
  <w:p w:rsidR="004E62A8" w:rsidRDefault="004E62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C1" w:rsidRDefault="002A5BC1" w:rsidP="00472245">
      <w:pPr>
        <w:spacing w:after="0" w:line="240" w:lineRule="auto"/>
      </w:pPr>
      <w:r>
        <w:separator/>
      </w:r>
    </w:p>
  </w:footnote>
  <w:footnote w:type="continuationSeparator" w:id="0">
    <w:p w:rsidR="002A5BC1" w:rsidRDefault="002A5BC1" w:rsidP="00472245">
      <w:pPr>
        <w:spacing w:after="0" w:line="240" w:lineRule="auto"/>
      </w:pPr>
      <w:r>
        <w:continuationSeparator/>
      </w:r>
    </w:p>
  </w:footnote>
  <w:footnote w:id="1">
    <w:p w:rsidR="00457AD6" w:rsidRPr="00CF2E74" w:rsidRDefault="00457AD6" w:rsidP="00CF2E74">
      <w:pPr>
        <w:pStyle w:val="Textonotapie"/>
        <w:jc w:val="both"/>
        <w:rPr>
          <w:rFonts w:cstheme="minorHAnsi"/>
          <w:sz w:val="18"/>
          <w:szCs w:val="18"/>
        </w:rPr>
      </w:pPr>
      <w:r w:rsidRPr="00CF2E74">
        <w:rPr>
          <w:rStyle w:val="Refdenotaalpie"/>
          <w:rFonts w:cstheme="minorHAnsi"/>
          <w:sz w:val="18"/>
          <w:szCs w:val="18"/>
        </w:rPr>
        <w:footnoteRef/>
      </w:r>
      <w:r w:rsidRPr="00CF2E74">
        <w:rPr>
          <w:rFonts w:cstheme="minorHAnsi"/>
          <w:sz w:val="18"/>
          <w:szCs w:val="18"/>
        </w:rPr>
        <w:t xml:space="preserve"> Tal como lo establece el art. 147 de la Constitución Provincial, el despacho de los negocios administrativos está a cargo de los Ministros, cuyos ramos y funciones son determinados por ley especial sancionada por la Legislatura. De allí que las leyes de ministerios establezcan el primer nivel de apertura del organigrama administrativo provincial -sentando las bases de la estructura orgánico-funcional que llevará adelante el plan de gobierno- y regulen ciertas pautas que hacen a la jerarquía y las relaciones inter-orgánicas al interior de la Administración. Establecido lo anterior, el Poder Ejecutivo estructura mediante el dictado de diversas normas reglamentarias los niveles subsiguientes de apertura orgánico-funcional al interior de cada cartera, así como las acciones correspondientes a cada unidad orgánica.</w:t>
      </w:r>
    </w:p>
  </w:footnote>
  <w:footnote w:id="2">
    <w:p w:rsidR="000E34AE" w:rsidRPr="00CF2E74" w:rsidRDefault="000E34AE" w:rsidP="000E34AE">
      <w:pPr>
        <w:pStyle w:val="Textonotapie"/>
        <w:jc w:val="both"/>
        <w:rPr>
          <w:rFonts w:cstheme="minorHAnsi"/>
          <w:sz w:val="18"/>
          <w:szCs w:val="18"/>
        </w:rPr>
      </w:pPr>
      <w:r w:rsidRPr="00CF2E74">
        <w:rPr>
          <w:rStyle w:val="Refdenotaalpie"/>
          <w:rFonts w:cstheme="minorHAnsi"/>
          <w:sz w:val="18"/>
          <w:szCs w:val="18"/>
        </w:rPr>
        <w:footnoteRef/>
      </w:r>
      <w:r w:rsidRPr="00CF2E74">
        <w:rPr>
          <w:rFonts w:cstheme="minorHAnsi"/>
          <w:sz w:val="18"/>
          <w:szCs w:val="18"/>
        </w:rPr>
        <w:t xml:space="preserve"> Ministerios de Jefatura de Gabinete; de Gobierno; de Economía; de Infraestructura; de Justicia; de Seguridad; de Salud; de Desarrollo Social; de Producción, Ciencia y Tecnología; de Asuntos Agrarios; de Trabajo.</w:t>
      </w:r>
    </w:p>
  </w:footnote>
  <w:footnote w:id="3">
    <w:p w:rsidR="000E34AE" w:rsidRPr="00CF2E74" w:rsidRDefault="000E34AE" w:rsidP="000E34AE">
      <w:pPr>
        <w:pStyle w:val="Textonotapie"/>
        <w:jc w:val="both"/>
        <w:rPr>
          <w:rFonts w:cstheme="minorHAnsi"/>
          <w:sz w:val="18"/>
          <w:szCs w:val="18"/>
        </w:rPr>
      </w:pPr>
      <w:r w:rsidRPr="00CF2E74">
        <w:rPr>
          <w:rStyle w:val="Refdenotaalpie"/>
          <w:rFonts w:cstheme="minorHAnsi"/>
          <w:sz w:val="18"/>
          <w:szCs w:val="18"/>
        </w:rPr>
        <w:footnoteRef/>
      </w:r>
      <w:r w:rsidRPr="00CF2E74">
        <w:rPr>
          <w:rFonts w:cstheme="minorHAnsi"/>
          <w:sz w:val="18"/>
          <w:szCs w:val="18"/>
        </w:rPr>
        <w:t xml:space="preserve"> Secretarías: General de la Gobernación; de Comunicación Pública; de Deportes; de Derechos Humanos; de Niñez y Adolescencia; de Turismo; de Personal y Política de Recursos Humanos; Legal y Técnica; de Participación Ciudadana; de Desarrollo Estratégico; de Servicios Públicos.</w:t>
      </w:r>
    </w:p>
  </w:footnote>
  <w:footnote w:id="4">
    <w:p w:rsidR="00457AD6" w:rsidRPr="00CF2E74" w:rsidRDefault="00457AD6" w:rsidP="00CF2E74">
      <w:pPr>
        <w:pStyle w:val="Textonotapie"/>
        <w:jc w:val="both"/>
        <w:rPr>
          <w:rFonts w:cstheme="minorHAnsi"/>
          <w:sz w:val="18"/>
          <w:szCs w:val="18"/>
        </w:rPr>
      </w:pPr>
      <w:r w:rsidRPr="00CF2E74">
        <w:rPr>
          <w:rStyle w:val="Refdenotaalpie"/>
          <w:rFonts w:cstheme="minorHAnsi"/>
          <w:sz w:val="18"/>
          <w:szCs w:val="18"/>
        </w:rPr>
        <w:footnoteRef/>
      </w:r>
      <w:r w:rsidRPr="00CF2E74">
        <w:rPr>
          <w:rFonts w:cstheme="minorHAnsi"/>
          <w:sz w:val="18"/>
          <w:szCs w:val="18"/>
          <w:lang w:val="es-ES"/>
        </w:rPr>
        <w:t>Promulgada mediante el decreto 2/15B de la misma fecha.</w:t>
      </w:r>
    </w:p>
  </w:footnote>
  <w:footnote w:id="5">
    <w:p w:rsidR="00457AD6" w:rsidRPr="00CF2E74" w:rsidRDefault="00457AD6" w:rsidP="00CF2E74">
      <w:pPr>
        <w:pStyle w:val="Textonotapie"/>
        <w:jc w:val="both"/>
        <w:rPr>
          <w:rFonts w:cstheme="minorHAnsi"/>
          <w:sz w:val="18"/>
          <w:szCs w:val="18"/>
          <w:lang w:val="es-ES"/>
        </w:rPr>
      </w:pPr>
      <w:r w:rsidRPr="00CF2E74">
        <w:rPr>
          <w:rStyle w:val="Refdenotaalpie"/>
          <w:rFonts w:cstheme="minorHAnsi"/>
          <w:sz w:val="18"/>
          <w:szCs w:val="18"/>
        </w:rPr>
        <w:footnoteRef/>
      </w:r>
      <w:r w:rsidRPr="00CF2E74">
        <w:rPr>
          <w:rFonts w:cstheme="minorHAnsi"/>
          <w:sz w:val="18"/>
          <w:szCs w:val="18"/>
          <w:lang w:val="es-ES"/>
        </w:rPr>
        <w:t>1. Ministerio de Coordinación y Gestión Pública. 2. Ministerio de Economía. 3. Ministerio de Gobierno.</w:t>
      </w:r>
    </w:p>
    <w:p w:rsidR="00457AD6" w:rsidRPr="00CF2E74" w:rsidRDefault="00457AD6" w:rsidP="00CF2E74">
      <w:pPr>
        <w:pStyle w:val="Textonotapie"/>
        <w:jc w:val="both"/>
        <w:rPr>
          <w:rFonts w:cstheme="minorHAnsi"/>
          <w:sz w:val="18"/>
          <w:szCs w:val="18"/>
          <w:lang w:val="es-ES"/>
        </w:rPr>
      </w:pPr>
      <w:r w:rsidRPr="00CF2E74">
        <w:rPr>
          <w:rFonts w:cstheme="minorHAnsi"/>
          <w:sz w:val="18"/>
          <w:szCs w:val="18"/>
          <w:lang w:val="es-ES"/>
        </w:rPr>
        <w:t>4. Ministerio de Infraestructura y Servicios Públicos. 5. Ministerio de Salud. 6. Ministerio de Seguridad.</w:t>
      </w:r>
    </w:p>
    <w:p w:rsidR="00457AD6" w:rsidRPr="00CF2E74" w:rsidRDefault="00457AD6" w:rsidP="00CF2E74">
      <w:pPr>
        <w:pStyle w:val="Textonotapie"/>
        <w:jc w:val="both"/>
        <w:rPr>
          <w:rFonts w:cstheme="minorHAnsi"/>
          <w:sz w:val="18"/>
          <w:szCs w:val="18"/>
          <w:lang w:val="es-ES"/>
        </w:rPr>
      </w:pPr>
      <w:r w:rsidRPr="00CF2E74">
        <w:rPr>
          <w:rFonts w:cstheme="minorHAnsi"/>
          <w:sz w:val="18"/>
          <w:szCs w:val="18"/>
          <w:lang w:val="es-ES"/>
        </w:rPr>
        <w:t xml:space="preserve">7. Ministerio de Justicia. 8. Ministerio de Asuntos Agrarios. 9. Ministerio de Desarrollo Social. 10 Ministerio de Producción, Ciencia y Tecnología. 12. Ministerio de Trabajo. </w:t>
      </w:r>
    </w:p>
  </w:footnote>
  <w:footnote w:id="6">
    <w:p w:rsidR="00457AD6" w:rsidRPr="00CF2E74" w:rsidRDefault="00457AD6" w:rsidP="00CF2E74">
      <w:pPr>
        <w:pStyle w:val="Textonotapie"/>
        <w:jc w:val="both"/>
        <w:rPr>
          <w:rFonts w:cstheme="minorHAnsi"/>
          <w:sz w:val="18"/>
          <w:szCs w:val="18"/>
          <w:lang w:val="es-ES"/>
        </w:rPr>
      </w:pPr>
      <w:r w:rsidRPr="00CF2E74">
        <w:rPr>
          <w:rStyle w:val="Refdenotaalpie"/>
          <w:rFonts w:cstheme="minorHAnsi"/>
          <w:sz w:val="18"/>
          <w:szCs w:val="18"/>
        </w:rPr>
        <w:footnoteRef/>
      </w:r>
      <w:r w:rsidRPr="00CF2E74">
        <w:rPr>
          <w:rFonts w:cstheme="minorHAnsi"/>
          <w:sz w:val="18"/>
          <w:szCs w:val="18"/>
          <w:lang w:val="es-ES"/>
        </w:rPr>
        <w:t>Secretaría General, Secretaría Legal y Técnica, Secretaría de Derechos Humanos, Secretaría de Cultura, Secretaría de Comunicación, Secretaría de Medios.</w:t>
      </w:r>
    </w:p>
  </w:footnote>
  <w:footnote w:id="7">
    <w:p w:rsidR="00457AD6" w:rsidRPr="00CF2E74" w:rsidRDefault="00457AD6" w:rsidP="00CF2E74">
      <w:pPr>
        <w:pStyle w:val="Textonotapie"/>
        <w:jc w:val="both"/>
        <w:rPr>
          <w:rFonts w:cstheme="minorHAnsi"/>
          <w:sz w:val="18"/>
          <w:szCs w:val="18"/>
        </w:rPr>
      </w:pPr>
      <w:r w:rsidRPr="00CF2E74">
        <w:rPr>
          <w:rStyle w:val="Refdenotaalpie"/>
          <w:rFonts w:cstheme="minorHAnsi"/>
          <w:sz w:val="18"/>
          <w:szCs w:val="18"/>
        </w:rPr>
        <w:footnoteRef/>
      </w:r>
      <w:r w:rsidRPr="00CF2E74">
        <w:rPr>
          <w:rFonts w:cstheme="minorHAnsi"/>
          <w:sz w:val="18"/>
          <w:szCs w:val="18"/>
          <w:lang w:val="es-ES"/>
        </w:rPr>
        <w:t>En efecto, el art. 10 de la Ley Nº 13.757 establecía textualmente que:</w:t>
      </w:r>
      <w:r w:rsidR="00502E72">
        <w:rPr>
          <w:rFonts w:cstheme="minorHAnsi"/>
          <w:sz w:val="18"/>
          <w:szCs w:val="18"/>
          <w:lang w:val="es-ES"/>
        </w:rPr>
        <w:t xml:space="preserve"> </w:t>
      </w:r>
      <w:r w:rsidRPr="00CF2E74">
        <w:rPr>
          <w:rFonts w:cstheme="minorHAnsi"/>
          <w:sz w:val="18"/>
          <w:szCs w:val="18"/>
          <w:lang w:val="es-ES"/>
        </w:rPr>
        <w:t>“</w:t>
      </w:r>
      <w:r w:rsidRPr="00CF2E74">
        <w:rPr>
          <w:rFonts w:cstheme="minorHAnsi"/>
          <w:sz w:val="18"/>
          <w:szCs w:val="18"/>
        </w:rPr>
        <w:t>Durante el desempeño de sus cargos los Ministros, no podrán ejercer actividad, comercio, negocio, profesión o empresa que directa o indirectamente implique participar, a cualquier título, en concesiones, acordadas por los poderes públicos o intervenir en contrataciones, gestiones o litigios en las cuales sean parte la Nación, las Provincias y/o los Municipios.</w:t>
      </w:r>
    </w:p>
    <w:p w:rsidR="00457AD6" w:rsidRPr="00CF2E74" w:rsidRDefault="00457AD6" w:rsidP="00CF2E74">
      <w:pPr>
        <w:pStyle w:val="Textonotapie"/>
        <w:jc w:val="both"/>
        <w:rPr>
          <w:rFonts w:cstheme="minorHAnsi"/>
          <w:sz w:val="18"/>
          <w:szCs w:val="18"/>
          <w:lang w:val="es-ES"/>
        </w:rPr>
      </w:pPr>
      <w:r w:rsidRPr="00CF2E74">
        <w:rPr>
          <w:rFonts w:cstheme="minorHAnsi"/>
          <w:sz w:val="18"/>
          <w:szCs w:val="18"/>
          <w:lang w:val="es-ES"/>
        </w:rPr>
        <w:t>Asimismo</w:t>
      </w:r>
      <w:r w:rsidR="0024346D">
        <w:rPr>
          <w:rFonts w:cstheme="minorHAnsi"/>
          <w:sz w:val="18"/>
          <w:szCs w:val="18"/>
          <w:lang w:val="es-ES"/>
        </w:rPr>
        <w:t>,</w:t>
      </w:r>
      <w:r w:rsidRPr="00CF2E74">
        <w:rPr>
          <w:rFonts w:cstheme="minorHAnsi"/>
          <w:sz w:val="18"/>
          <w:szCs w:val="18"/>
          <w:lang w:val="es-ES"/>
        </w:rPr>
        <w:t xml:space="preserve"> los Ministros no podrán ejercer profesión o empleo alguno, ni desarrollar ninguna actividad privada que tenga vinculaciones comerciales con el Estado Nacional, Provincial y/o Municipal, entidades autárquicas y/o empresas del Estado.</w:t>
      </w:r>
    </w:p>
    <w:p w:rsidR="00457AD6" w:rsidRPr="00CF2E74" w:rsidRDefault="00457AD6" w:rsidP="00CF2E74">
      <w:pPr>
        <w:pStyle w:val="Textonotapie"/>
        <w:jc w:val="both"/>
        <w:rPr>
          <w:rFonts w:cstheme="minorHAnsi"/>
          <w:sz w:val="18"/>
          <w:szCs w:val="18"/>
          <w:lang w:val="es-ES"/>
        </w:rPr>
      </w:pPr>
      <w:r w:rsidRPr="00CF2E74">
        <w:rPr>
          <w:rFonts w:cstheme="minorHAnsi"/>
          <w:sz w:val="18"/>
          <w:szCs w:val="18"/>
          <w:lang w:val="es-ES"/>
        </w:rPr>
        <w:t>Es incompatible el cargo de Ministro, con cualquier otra función pública Nacional, Provincial o Municipal fuera ésta, permanente o transitoria, rentada o ad-honorem, con excepción de las actividades docentes en ejercicio y la representación de la Provincia en organismos federales y/o en entidades sin fines de lucro; así como en funciones honorarias de estudio, colaboración o coordinación de interés provincial, en cuyo caso podrá, el Poder Ejecutivo, acordar la autorización pertinente.</w:t>
      </w:r>
    </w:p>
    <w:p w:rsidR="00457AD6" w:rsidRPr="00CF2E74" w:rsidRDefault="00457AD6" w:rsidP="00CF2E74">
      <w:pPr>
        <w:pStyle w:val="Textonotapie"/>
        <w:jc w:val="both"/>
        <w:rPr>
          <w:rFonts w:cstheme="minorHAnsi"/>
          <w:sz w:val="18"/>
          <w:szCs w:val="18"/>
          <w:lang w:val="es-ES"/>
        </w:rPr>
      </w:pPr>
      <w:r w:rsidRPr="00CF2E74">
        <w:rPr>
          <w:rFonts w:cstheme="minorHAnsi"/>
          <w:sz w:val="18"/>
          <w:szCs w:val="18"/>
          <w:lang w:val="es-ES"/>
        </w:rPr>
        <w:t>Los Ministros Secretarios de Estado y Subsecretarios no podrán ejercer profesiones liberales mientras permanezcan en sus funciones, incompatibilidad que regirá para todos los funcionarios que, cualquiera sea su denominación, ostentaran cargos equivalentes a los citados.</w:t>
      </w:r>
    </w:p>
    <w:p w:rsidR="00457AD6" w:rsidRPr="00CF2E74" w:rsidRDefault="00457AD6" w:rsidP="00CF2E74">
      <w:pPr>
        <w:pStyle w:val="Textonotapie"/>
        <w:jc w:val="both"/>
        <w:rPr>
          <w:rFonts w:cstheme="minorHAnsi"/>
          <w:sz w:val="18"/>
          <w:szCs w:val="18"/>
          <w:lang w:val="es-ES"/>
        </w:rPr>
      </w:pPr>
      <w:r w:rsidRPr="00CF2E74">
        <w:rPr>
          <w:rFonts w:cstheme="minorHAnsi"/>
          <w:sz w:val="18"/>
          <w:szCs w:val="18"/>
          <w:lang w:val="es-ES"/>
        </w:rPr>
        <w:t>Acuerdo General de Ministros y Refrenda de los Actos Administrativos”.</w:t>
      </w:r>
    </w:p>
    <w:p w:rsidR="00457AD6" w:rsidRPr="00CF2E74" w:rsidRDefault="00457AD6" w:rsidP="00CF2E74">
      <w:pPr>
        <w:pStyle w:val="Textonotapie"/>
        <w:jc w:val="both"/>
        <w:rPr>
          <w:rFonts w:cstheme="minorHAnsi"/>
          <w:sz w:val="18"/>
          <w:szCs w:val="18"/>
          <w:lang w:val="es-ES"/>
        </w:rPr>
      </w:pPr>
      <w:r w:rsidRPr="00CF2E74">
        <w:rPr>
          <w:rFonts w:cstheme="minorHAnsi"/>
          <w:sz w:val="18"/>
          <w:szCs w:val="18"/>
          <w:lang w:val="es-ES"/>
        </w:rPr>
        <w:t>Tras la modificación perada por la ley 14803, el artículo 11 estableció que: “Es incompatible el cargo de Ministro Secretario con cualquier otra función pública Nacional, Provincial o Municipal fuera ésta, permanente o transitoria, rentada o ad-honorem, con excepción de las actividades docentes y la representación de la Provincia en organismos federales y/o en entidades sin fines de lucro; así como en funciones honorarias de estudio, colaboración o coordinación de interés provincial.</w:t>
      </w:r>
    </w:p>
    <w:p w:rsidR="00457AD6" w:rsidRPr="00CF2E74" w:rsidRDefault="00457AD6" w:rsidP="00CF2E74">
      <w:pPr>
        <w:pStyle w:val="Textonotapie"/>
        <w:jc w:val="both"/>
        <w:rPr>
          <w:rFonts w:cstheme="minorHAnsi"/>
          <w:sz w:val="18"/>
          <w:szCs w:val="18"/>
          <w:lang w:val="es-ES"/>
        </w:rPr>
      </w:pPr>
      <w:r w:rsidRPr="00CF2E74">
        <w:rPr>
          <w:rFonts w:cstheme="minorHAnsi"/>
          <w:sz w:val="18"/>
          <w:szCs w:val="18"/>
          <w:lang w:val="es-ES"/>
        </w:rPr>
        <w:t>Durante el desempeño de sus cargos, los Ministros no podrán ejercer actividad comercial, negocios, profesión ni empresa que, directa o indirectamente, impliquen su participación a cualquier título, concesiones acordadas por los poderes públicos o intervenir en contrataciones, gestiones y licitaciones de las cuales sea parte la Nación, la Provincia o los Municipios.</w:t>
      </w:r>
    </w:p>
    <w:p w:rsidR="00457AD6" w:rsidRPr="00CF2E74" w:rsidRDefault="00457AD6" w:rsidP="00CF2E74">
      <w:pPr>
        <w:pStyle w:val="Textonotapie"/>
        <w:jc w:val="both"/>
        <w:rPr>
          <w:rFonts w:cstheme="minorHAnsi"/>
          <w:sz w:val="18"/>
          <w:szCs w:val="18"/>
          <w:lang w:val="es-ES"/>
        </w:rPr>
      </w:pPr>
      <w:r w:rsidRPr="00CF2E74">
        <w:rPr>
          <w:rFonts w:cstheme="minorHAnsi"/>
          <w:sz w:val="18"/>
          <w:szCs w:val="18"/>
          <w:lang w:val="es-ES"/>
        </w:rPr>
        <w:t>Tampoco podrán ser proveedores por sí o por terceros de todo organismo de la Provincia”.</w:t>
      </w:r>
    </w:p>
  </w:footnote>
  <w:footnote w:id="8">
    <w:p w:rsidR="001B6C3B" w:rsidRPr="00326065" w:rsidRDefault="001B6C3B" w:rsidP="00DE6248">
      <w:pPr>
        <w:pStyle w:val="Textonotapie"/>
        <w:jc w:val="both"/>
        <w:rPr>
          <w:sz w:val="18"/>
        </w:rPr>
      </w:pPr>
      <w:r>
        <w:rPr>
          <w:rStyle w:val="Refdenotaalpie"/>
        </w:rPr>
        <w:footnoteRef/>
      </w:r>
      <w:r w:rsidRPr="00326065">
        <w:rPr>
          <w:sz w:val="18"/>
        </w:rPr>
        <w:t>De acuerdo a lo establecido en el art. 126 del Dec.-Ley N° 7647/70 –de Procedimiento Administrativo–.</w:t>
      </w:r>
    </w:p>
  </w:footnote>
  <w:footnote w:id="9">
    <w:p w:rsidR="00326065" w:rsidRDefault="00326065" w:rsidP="00DE6248">
      <w:pPr>
        <w:pStyle w:val="Textonotapie"/>
        <w:jc w:val="both"/>
      </w:pPr>
      <w:r>
        <w:rPr>
          <w:rStyle w:val="Refdenotaalpie"/>
        </w:rPr>
        <w:footnoteRef/>
      </w:r>
      <w:r w:rsidRPr="00326065">
        <w:rPr>
          <w:sz w:val="18"/>
        </w:rPr>
        <w:t>Tales como el Servicio Penitenciario Bonaerense, el Tribunal Fiscal de Apelaciones, Escribanía G</w:t>
      </w:r>
      <w:r w:rsidR="00DE6248">
        <w:rPr>
          <w:sz w:val="18"/>
        </w:rPr>
        <w:t xml:space="preserve">eneral de Gobierno, entre otros, salvo que estos estuvieran incorporados en los decretos indicados en la última columna, como es el caso del </w:t>
      </w:r>
      <w:r w:rsidR="00DE6248" w:rsidRPr="00DE6248">
        <w:rPr>
          <w:sz w:val="18"/>
        </w:rPr>
        <w:t>Centro Único Coordinador de Ablacio</w:t>
      </w:r>
      <w:r w:rsidR="00DE6248">
        <w:rPr>
          <w:sz w:val="18"/>
        </w:rPr>
        <w:t>nes e Implantes (C.U.C.A.I.B.A), incorporado en el Decreto N° 337/18. En tal sentido, se incluye su estructura aprobada por Dec. N° 1961/15, a los efectos de hacer comparables los datos ente períodos.</w:t>
      </w:r>
    </w:p>
  </w:footnote>
  <w:footnote w:id="10">
    <w:p w:rsidR="00457AD6" w:rsidRPr="00CF2E74" w:rsidRDefault="00457AD6" w:rsidP="00CF2E74">
      <w:pPr>
        <w:pStyle w:val="Textonotapie"/>
        <w:jc w:val="both"/>
        <w:rPr>
          <w:rFonts w:cstheme="minorHAnsi"/>
          <w:sz w:val="18"/>
          <w:szCs w:val="18"/>
          <w:lang w:val="es-ES"/>
        </w:rPr>
      </w:pPr>
      <w:r w:rsidRPr="00CF2E74">
        <w:rPr>
          <w:rStyle w:val="Refdenotaalpie"/>
          <w:rFonts w:cstheme="minorHAnsi"/>
          <w:sz w:val="18"/>
          <w:szCs w:val="18"/>
        </w:rPr>
        <w:footnoteRef/>
      </w:r>
      <w:r w:rsidRPr="00CF2E74">
        <w:rPr>
          <w:rFonts w:cstheme="minorHAnsi"/>
          <w:sz w:val="18"/>
          <w:szCs w:val="18"/>
          <w:lang w:val="es-ES_tradnl"/>
        </w:rPr>
        <w:t>El entonces denominado Ministerio de Jefatura de Gabinete y Gobierno fue creado en el año 2007 (Ley Nº 13.757, B.O. del</w:t>
      </w:r>
      <w:r w:rsidRPr="00CF2E74">
        <w:rPr>
          <w:rFonts w:cstheme="minorHAnsi"/>
          <w:bCs/>
          <w:sz w:val="18"/>
          <w:szCs w:val="18"/>
          <w:lang w:val="es-ES_tradnl"/>
        </w:rPr>
        <w:t>6/12/07, Nº 25796), contando con atribuciones en materia de establecimiento de agenda del PE, coordinación del Gabinete y diseño, coordinación y evaluación de programas interministeriales (incisos 4 a 7 del art. 16, Ley 13757, en su redacción originaria).  Con la modificación de la Ley 13.975 se crea como cartera el Ministerio de jefatura de Gabinete de Ministros (ya escindido de la cartera de Gobierno) manteniendo las atribuciones antes aludidas durante toda la gestión Scioli. Al inicio de la gestión Vidal (mediante la Ley Nº 14803), se suprimió la Jefatura de Gabinete, creándose el Ministerio de Coordinación y Gestión Pública, que ostentaba entre sus atribuciones la de asistir “…</w:t>
      </w:r>
      <w:r w:rsidRPr="00CF2E74">
        <w:rPr>
          <w:rFonts w:cstheme="minorHAnsi"/>
          <w:bCs/>
          <w:sz w:val="18"/>
          <w:szCs w:val="18"/>
          <w:lang w:val="es-ES"/>
        </w:rPr>
        <w:t>al Poder Ejecutivo en el seguimiento del plan de acción general de gobierno, diseñando e implementando los instrumentos para el monitoreo de los planes, programas y proyectos que aseguren el cumplimiento de los objetivos fijados” (art. 18, inc. 4, Ley Nº 14803).  Finalmente, mediante la sanción de una nueva Ley de Ministerios (Nº 14.853) en noviembre de 2016 se reinstaura el Ministerio de Jefatura de Gabinete de Ministros, dotándoselo expresamente de competencia en materia de planificación estratégica del Plan General de Acción de Gobierno y control y seguimiento de la gestión (art. 18, inc. 4 y 5); atribuciones que fueron mantenidas por la Ley de Ministerios Nº 14.989 actualmente vigente.</w:t>
      </w:r>
    </w:p>
  </w:footnote>
  <w:footnote w:id="11">
    <w:p w:rsidR="00C66450" w:rsidRPr="00CF2E74" w:rsidRDefault="00C66450" w:rsidP="00CF2E74">
      <w:pPr>
        <w:pStyle w:val="Textonotapie"/>
        <w:jc w:val="both"/>
        <w:rPr>
          <w:rFonts w:cstheme="minorHAnsi"/>
          <w:sz w:val="18"/>
          <w:szCs w:val="18"/>
          <w:lang w:val="es-ES"/>
        </w:rPr>
      </w:pPr>
      <w:r w:rsidRPr="00CF2E74">
        <w:rPr>
          <w:rStyle w:val="Refdenotaalpie"/>
          <w:rFonts w:cstheme="minorHAnsi"/>
          <w:sz w:val="18"/>
          <w:szCs w:val="18"/>
        </w:rPr>
        <w:footnoteRef/>
      </w:r>
      <w:r w:rsidRPr="00CF2E74">
        <w:rPr>
          <w:rFonts w:cstheme="minorHAnsi"/>
          <w:sz w:val="18"/>
          <w:szCs w:val="18"/>
          <w:lang w:val="es-ES"/>
        </w:rPr>
        <w:t xml:space="preserve">Resulta llamativa la jerarquización simbólica de un área de comunicación de gobierno (tal es la naturaleza del nuevo ministerio de Asuntos Públicos) cuyas atribuciones no fueron modificadas respecto de la secretaría que lo antecedió, más allá de alguna diferencia en su redacción que no altera en forma alguna la sustancia. Sin dudas, la naturaleza de las funciones que tiene encomendadas resultan más afines a las tareas de apoyo al Poder Ejecutivo que generalmente ostentan las secretarías de Estado, que las de ejecución de política pública a las que se avocan los Ministerios que integran el gabinete provincial. </w:t>
      </w:r>
    </w:p>
  </w:footnote>
  <w:footnote w:id="12">
    <w:p w:rsidR="00C66450" w:rsidRPr="00CF2E74" w:rsidRDefault="00C66450" w:rsidP="00CF2E74">
      <w:pPr>
        <w:pStyle w:val="Textonotapie"/>
        <w:jc w:val="both"/>
        <w:rPr>
          <w:rFonts w:cstheme="minorHAnsi"/>
          <w:sz w:val="18"/>
          <w:szCs w:val="18"/>
        </w:rPr>
      </w:pPr>
      <w:r w:rsidRPr="00CF2E74">
        <w:rPr>
          <w:rStyle w:val="Refdenotaalpie"/>
          <w:rFonts w:cstheme="minorHAnsi"/>
          <w:sz w:val="18"/>
          <w:szCs w:val="18"/>
        </w:rPr>
        <w:footnoteRef/>
      </w:r>
      <w:r w:rsidRPr="00CF2E74">
        <w:rPr>
          <w:rFonts w:cstheme="minorHAnsi"/>
          <w:sz w:val="18"/>
          <w:szCs w:val="18"/>
        </w:rPr>
        <w:t xml:space="preserve"> La concentración y la desconcentración</w:t>
      </w:r>
      <w:r w:rsidR="00502E72">
        <w:rPr>
          <w:rFonts w:cstheme="minorHAnsi"/>
          <w:sz w:val="18"/>
          <w:szCs w:val="18"/>
        </w:rPr>
        <w:t xml:space="preserve"> </w:t>
      </w:r>
      <w:r w:rsidRPr="00CF2E74">
        <w:rPr>
          <w:rFonts w:cstheme="minorHAnsi"/>
          <w:sz w:val="18"/>
          <w:szCs w:val="18"/>
        </w:rPr>
        <w:t>son principios que se desarrollan en el ámbito de una persona pública estatal. Hay concentración cuando las facultades de decisión se reúnen en los órganos superiores de la organización, mientras que cuando las competencias decisorias son asignadas exclusivamente a órganos inferiores, que no ocupan la cima de la jerarquía, el fenómeno recibe el nombre técnico de “desconcentración” (Ivanega, 2004).  En este caso, la desconcentración obedecería a la necesidad de que, por su índole técnica tendiente a resguardar la legalidad, las competencias jurídicas estén reservadas exclusivamente al Asesor General de Gobierno, no pudiendo ser ejercidas por un superior jerárquico, ni siquiera por avocación.</w:t>
      </w:r>
    </w:p>
  </w:footnote>
  <w:footnote w:id="13">
    <w:p w:rsidR="00457AD6" w:rsidRPr="00CF2E74" w:rsidRDefault="00457AD6" w:rsidP="00CF2E74">
      <w:pPr>
        <w:pStyle w:val="Textonotapie"/>
        <w:jc w:val="both"/>
        <w:rPr>
          <w:rFonts w:cstheme="minorHAnsi"/>
          <w:sz w:val="18"/>
          <w:szCs w:val="18"/>
          <w:lang w:val="es-ES"/>
        </w:rPr>
      </w:pPr>
      <w:r w:rsidRPr="00CF2E74">
        <w:rPr>
          <w:rStyle w:val="Refdenotaalpie"/>
          <w:rFonts w:cstheme="minorHAnsi"/>
          <w:sz w:val="18"/>
          <w:szCs w:val="18"/>
        </w:rPr>
        <w:footnoteRef/>
      </w:r>
      <w:r w:rsidRPr="00CF2E74">
        <w:rPr>
          <w:rFonts w:cstheme="minorHAnsi"/>
          <w:sz w:val="18"/>
          <w:szCs w:val="18"/>
        </w:rPr>
        <w:t xml:space="preserve"> Ley Nº 14.989. Art. 38: “</w:t>
      </w:r>
      <w:r w:rsidRPr="00CF2E74">
        <w:rPr>
          <w:rFonts w:cstheme="minorHAnsi"/>
          <w:sz w:val="18"/>
          <w:szCs w:val="18"/>
          <w:lang w:val="es-ES"/>
        </w:rPr>
        <w:t>La Asesoría General de Gobierno es un organismo desconcentrado del Poder Ejecutivo Provincial, cuya estructura y presupuesto están contenidos en la estructura y presupuesto de la Secretaría Legal y Técnica”.</w:t>
      </w:r>
    </w:p>
  </w:footnote>
  <w:footnote w:id="14">
    <w:p w:rsidR="00457AD6" w:rsidRPr="00CF2E74" w:rsidRDefault="00457AD6" w:rsidP="00CF2E74">
      <w:pPr>
        <w:pStyle w:val="Textonotapie"/>
        <w:jc w:val="both"/>
        <w:rPr>
          <w:rFonts w:cstheme="minorHAnsi"/>
          <w:sz w:val="18"/>
          <w:szCs w:val="18"/>
          <w:lang w:val="es-ES"/>
        </w:rPr>
      </w:pPr>
      <w:r w:rsidRPr="00CF2E74">
        <w:rPr>
          <w:rStyle w:val="Refdenotaalpie"/>
          <w:rFonts w:cstheme="minorHAnsi"/>
          <w:sz w:val="18"/>
          <w:szCs w:val="18"/>
        </w:rPr>
        <w:footnoteRef/>
      </w:r>
      <w:r w:rsidRPr="00CF2E74">
        <w:rPr>
          <w:rFonts w:cstheme="minorHAnsi"/>
          <w:sz w:val="18"/>
          <w:szCs w:val="18"/>
        </w:rPr>
        <w:t xml:space="preserve"> ARTICULO 2º — La Procuración del Tesoro de la Nación es un organismo desconcentrado del Poder Ejecutivo Nacional, cuya estructura administrativa y presupuesto están contenidos en la estructura y presupuesto del Ministerio de Justicia de la Nación.</w:t>
      </w:r>
    </w:p>
  </w:footnote>
  <w:footnote w:id="15">
    <w:p w:rsidR="00457AD6" w:rsidRPr="00CF2E74" w:rsidRDefault="00457AD6" w:rsidP="00CF2E74">
      <w:pPr>
        <w:pStyle w:val="Textonotapie"/>
        <w:jc w:val="both"/>
        <w:rPr>
          <w:rFonts w:cstheme="minorHAnsi"/>
          <w:sz w:val="18"/>
          <w:szCs w:val="18"/>
          <w:lang w:val="es-ES"/>
        </w:rPr>
      </w:pPr>
      <w:r w:rsidRPr="00CF2E74">
        <w:rPr>
          <w:rStyle w:val="Refdenotaalpie"/>
          <w:rFonts w:cstheme="minorHAnsi"/>
          <w:sz w:val="18"/>
          <w:szCs w:val="18"/>
        </w:rPr>
        <w:footnoteRef/>
      </w:r>
      <w:r w:rsidRPr="00CF2E74">
        <w:rPr>
          <w:rFonts w:cstheme="minorHAnsi"/>
          <w:sz w:val="18"/>
          <w:szCs w:val="18"/>
          <w:lang w:val="es-ES"/>
        </w:rPr>
        <w:t xml:space="preserve"> Ley Nº 14.989. Art. 48.</w:t>
      </w:r>
    </w:p>
  </w:footnote>
  <w:footnote w:id="16">
    <w:p w:rsidR="00457AD6" w:rsidRPr="00CF2E74" w:rsidRDefault="00457AD6" w:rsidP="00CF2E74">
      <w:pPr>
        <w:pStyle w:val="Textonotapie"/>
        <w:jc w:val="both"/>
        <w:rPr>
          <w:rFonts w:cstheme="minorHAnsi"/>
          <w:sz w:val="18"/>
          <w:szCs w:val="18"/>
          <w:lang w:val="en-US"/>
        </w:rPr>
      </w:pPr>
      <w:r w:rsidRPr="00CF2E74">
        <w:rPr>
          <w:rStyle w:val="Refdenotaalpie"/>
          <w:rFonts w:cstheme="minorHAnsi"/>
          <w:sz w:val="18"/>
          <w:szCs w:val="18"/>
        </w:rPr>
        <w:footnoteRef/>
      </w:r>
      <w:r w:rsidRPr="00CF2E74">
        <w:rPr>
          <w:rFonts w:cstheme="minorHAnsi"/>
          <w:sz w:val="18"/>
          <w:szCs w:val="18"/>
          <w:lang w:val="es-ES"/>
        </w:rPr>
        <w:t xml:space="preserve"> Ley Nº 14.989. </w:t>
      </w:r>
      <w:r w:rsidRPr="00CF2E74">
        <w:rPr>
          <w:rFonts w:cstheme="minorHAnsi"/>
          <w:sz w:val="18"/>
          <w:szCs w:val="18"/>
          <w:lang w:val="en-US"/>
        </w:rPr>
        <w:t>Art. 48, inc.1).</w:t>
      </w:r>
    </w:p>
  </w:footnote>
  <w:footnote w:id="17">
    <w:p w:rsidR="00CF2E74" w:rsidRPr="00CF2E74" w:rsidRDefault="00CF2E74" w:rsidP="00CF2E74">
      <w:pPr>
        <w:pStyle w:val="Textonotapie"/>
        <w:jc w:val="both"/>
        <w:rPr>
          <w:rFonts w:cstheme="minorHAnsi"/>
          <w:sz w:val="18"/>
          <w:szCs w:val="18"/>
          <w:lang w:val="es-MX"/>
        </w:rPr>
      </w:pPr>
      <w:r w:rsidRPr="00CF2E74">
        <w:rPr>
          <w:rStyle w:val="Refdenotaalpie"/>
          <w:rFonts w:cstheme="minorHAnsi"/>
          <w:sz w:val="18"/>
          <w:szCs w:val="18"/>
        </w:rPr>
        <w:footnoteRef/>
      </w:r>
      <w:r w:rsidRPr="00CF2E74">
        <w:rPr>
          <w:rFonts w:cstheme="minorHAnsi"/>
          <w:sz w:val="18"/>
          <w:szCs w:val="18"/>
          <w:lang w:val="es-ES"/>
        </w:rPr>
        <w:t xml:space="preserve">El art. 147 de la Constitución Provincial dispone que el despacho de los negocios administrativos sea ejercido por los Ministros, cuyos ramos y funciones son determinados por ley especial sancionada por la Legislatura. Es decir que la regla manda que la Legislatura es quien tiene atribuciones para fijar las competencias de los Ministros y su distribución funcional. Además, debemos recordar que, de acuerdo con el artículo 45 de la Carta magna, </w:t>
      </w:r>
      <w:r w:rsidRPr="00CF2E74">
        <w:rPr>
          <w:rFonts w:cstheme="minorHAnsi"/>
          <w:sz w:val="18"/>
          <w:szCs w:val="18"/>
          <w:lang w:val="es-MX"/>
        </w:rPr>
        <w:t>los poderes públicos –léase, en este caso, la Legislatura- no podrán delegar las facultades que les han sido conferidas por esta Constitución, ni atribuir al Poder Ejecutivo otras que las que expresamente le están acordadas por ella.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D69EA"/>
    <w:multiLevelType w:val="hybridMultilevel"/>
    <w:tmpl w:val="0EECC8C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2222078"/>
    <w:multiLevelType w:val="hybridMultilevel"/>
    <w:tmpl w:val="82E4FE2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34572EB"/>
    <w:multiLevelType w:val="hybridMultilevel"/>
    <w:tmpl w:val="C76038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79D1021"/>
    <w:multiLevelType w:val="multilevel"/>
    <w:tmpl w:val="D042EA1E"/>
    <w:lvl w:ilvl="0">
      <w:start w:val="3"/>
      <w:numFmt w:val="decimal"/>
      <w:lvlText w:val="%1."/>
      <w:lvlJc w:val="left"/>
      <w:pPr>
        <w:ind w:left="360" w:hanging="360"/>
      </w:pPr>
      <w:rPr>
        <w:rFonts w:hint="default"/>
        <w:b/>
      </w:rPr>
    </w:lvl>
    <w:lvl w:ilvl="1">
      <w:start w:val="1"/>
      <w:numFmt w:val="decimal"/>
      <w:lvlText w:val="%1.%2."/>
      <w:lvlJc w:val="left"/>
      <w:pPr>
        <w:ind w:left="252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480" w:hanging="108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440" w:hanging="144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400" w:hanging="1800"/>
      </w:pPr>
      <w:rPr>
        <w:rFonts w:hint="default"/>
        <w:b/>
      </w:rPr>
    </w:lvl>
    <w:lvl w:ilvl="8">
      <w:start w:val="1"/>
      <w:numFmt w:val="decimal"/>
      <w:lvlText w:val="%1.%2.%3.%4.%5.%6.%7.%8.%9."/>
      <w:lvlJc w:val="left"/>
      <w:pPr>
        <w:ind w:left="16200" w:hanging="1800"/>
      </w:pPr>
      <w:rPr>
        <w:rFonts w:hint="default"/>
        <w:b/>
      </w:rPr>
    </w:lvl>
  </w:abstractNum>
  <w:abstractNum w:abstractNumId="4">
    <w:nsid w:val="5176595C"/>
    <w:multiLevelType w:val="hybridMultilevel"/>
    <w:tmpl w:val="E66A217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5E63054"/>
    <w:multiLevelType w:val="hybridMultilevel"/>
    <w:tmpl w:val="7F2E972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A343BA7"/>
    <w:multiLevelType w:val="hybridMultilevel"/>
    <w:tmpl w:val="DDF821A8"/>
    <w:lvl w:ilvl="0" w:tplc="C8E0C64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8844280"/>
    <w:multiLevelType w:val="hybridMultilevel"/>
    <w:tmpl w:val="E5AC77D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D1C7AD0"/>
    <w:multiLevelType w:val="hybridMultilevel"/>
    <w:tmpl w:val="24EAAAB8"/>
    <w:lvl w:ilvl="0" w:tplc="CF322FE0">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45"/>
    <w:rsid w:val="000315E4"/>
    <w:rsid w:val="00051894"/>
    <w:rsid w:val="000B2C89"/>
    <w:rsid w:val="000E34AE"/>
    <w:rsid w:val="0019396B"/>
    <w:rsid w:val="001B6C3B"/>
    <w:rsid w:val="00237092"/>
    <w:rsid w:val="0024346D"/>
    <w:rsid w:val="002A5BC1"/>
    <w:rsid w:val="00326065"/>
    <w:rsid w:val="003307B3"/>
    <w:rsid w:val="003C06A8"/>
    <w:rsid w:val="00415A32"/>
    <w:rsid w:val="00457AD6"/>
    <w:rsid w:val="00472245"/>
    <w:rsid w:val="004E62A8"/>
    <w:rsid w:val="00502E72"/>
    <w:rsid w:val="00503938"/>
    <w:rsid w:val="005048FA"/>
    <w:rsid w:val="00591607"/>
    <w:rsid w:val="005C4F5D"/>
    <w:rsid w:val="006C3C98"/>
    <w:rsid w:val="007E5EAC"/>
    <w:rsid w:val="00814BA1"/>
    <w:rsid w:val="00821372"/>
    <w:rsid w:val="00911ADF"/>
    <w:rsid w:val="00991EE2"/>
    <w:rsid w:val="00AA2B2C"/>
    <w:rsid w:val="00AA418F"/>
    <w:rsid w:val="00AD27E5"/>
    <w:rsid w:val="00BA3277"/>
    <w:rsid w:val="00BE5177"/>
    <w:rsid w:val="00C24001"/>
    <w:rsid w:val="00C66450"/>
    <w:rsid w:val="00C86EFB"/>
    <w:rsid w:val="00C955D2"/>
    <w:rsid w:val="00CF2E74"/>
    <w:rsid w:val="00DE6248"/>
    <w:rsid w:val="00E04BF7"/>
    <w:rsid w:val="00E22330"/>
    <w:rsid w:val="00EC00CD"/>
    <w:rsid w:val="00F032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56685-82FE-4F1B-A3A6-E8BC9AC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722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2245"/>
    <w:rPr>
      <w:sz w:val="20"/>
      <w:szCs w:val="20"/>
    </w:rPr>
  </w:style>
  <w:style w:type="character" w:styleId="Refdenotaalpie">
    <w:name w:val="footnote reference"/>
    <w:uiPriority w:val="99"/>
    <w:semiHidden/>
    <w:unhideWhenUsed/>
    <w:rsid w:val="00472245"/>
    <w:rPr>
      <w:vertAlign w:val="superscript"/>
    </w:rPr>
  </w:style>
  <w:style w:type="character" w:styleId="Hipervnculo">
    <w:name w:val="Hyperlink"/>
    <w:uiPriority w:val="99"/>
    <w:unhideWhenUsed/>
    <w:rsid w:val="00472245"/>
    <w:rPr>
      <w:color w:val="0000FF"/>
      <w:u w:val="single"/>
    </w:rPr>
  </w:style>
  <w:style w:type="paragraph" w:styleId="Prrafodelista">
    <w:name w:val="List Paragraph"/>
    <w:basedOn w:val="Normal"/>
    <w:uiPriority w:val="34"/>
    <w:qFormat/>
    <w:rsid w:val="003307B3"/>
    <w:pPr>
      <w:ind w:left="720"/>
      <w:contextualSpacing/>
    </w:pPr>
  </w:style>
  <w:style w:type="paragraph" w:styleId="Textodeglobo">
    <w:name w:val="Balloon Text"/>
    <w:basedOn w:val="Normal"/>
    <w:link w:val="TextodegloboCar"/>
    <w:uiPriority w:val="99"/>
    <w:semiHidden/>
    <w:unhideWhenUsed/>
    <w:rsid w:val="00AD27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7E5"/>
    <w:rPr>
      <w:rFonts w:ascii="Tahoma" w:hAnsi="Tahoma" w:cs="Tahoma"/>
      <w:sz w:val="16"/>
      <w:szCs w:val="16"/>
    </w:rPr>
  </w:style>
  <w:style w:type="paragraph" w:styleId="Encabezado">
    <w:name w:val="header"/>
    <w:basedOn w:val="Normal"/>
    <w:link w:val="EncabezadoCar"/>
    <w:uiPriority w:val="99"/>
    <w:semiHidden/>
    <w:unhideWhenUsed/>
    <w:rsid w:val="004E62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E62A8"/>
  </w:style>
  <w:style w:type="paragraph" w:styleId="Piedepgina">
    <w:name w:val="footer"/>
    <w:basedOn w:val="Normal"/>
    <w:link w:val="PiedepginaCar"/>
    <w:uiPriority w:val="99"/>
    <w:unhideWhenUsed/>
    <w:rsid w:val="004E62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2400">
      <w:bodyDiv w:val="1"/>
      <w:marLeft w:val="0"/>
      <w:marRight w:val="0"/>
      <w:marTop w:val="0"/>
      <w:marBottom w:val="0"/>
      <w:divBdr>
        <w:top w:val="none" w:sz="0" w:space="0" w:color="auto"/>
        <w:left w:val="none" w:sz="0" w:space="0" w:color="auto"/>
        <w:bottom w:val="none" w:sz="0" w:space="0" w:color="auto"/>
        <w:right w:val="none" w:sz="0" w:space="0" w:color="auto"/>
      </w:divBdr>
    </w:div>
    <w:div w:id="1304962648">
      <w:bodyDiv w:val="1"/>
      <w:marLeft w:val="0"/>
      <w:marRight w:val="0"/>
      <w:marTop w:val="0"/>
      <w:marBottom w:val="0"/>
      <w:divBdr>
        <w:top w:val="none" w:sz="0" w:space="0" w:color="auto"/>
        <w:left w:val="none" w:sz="0" w:space="0" w:color="auto"/>
        <w:bottom w:val="none" w:sz="0" w:space="0" w:color="auto"/>
        <w:right w:val="none" w:sz="0" w:space="0" w:color="auto"/>
      </w:divBdr>
    </w:div>
    <w:div w:id="19507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b.gba.gov.ar/dij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gba.gov.ar/dijl/" TargetMode="External"/><Relationship Id="rId5" Type="http://schemas.openxmlformats.org/officeDocument/2006/relationships/webSettings" Target="webSettings.xml"/><Relationship Id="rId15" Type="http://schemas.openxmlformats.org/officeDocument/2006/relationships/hyperlink" Target="http://www.gob.gba.gov.ar/dij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b.gba.gov.ar/dijl/"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cuments\MEGA\Instituto%20Patria\06.%20Evolucion%20estructuras\Cuantis%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Cantidad</a:t>
            </a:r>
            <a:r>
              <a:rPr lang="es-AR" baseline="0"/>
              <a:t> de cargos por nivel</a:t>
            </a:r>
            <a:endParaRPr lang="es-AR"/>
          </a:p>
        </c:rich>
      </c:tx>
      <c:overlay val="0"/>
      <c:spPr>
        <a:noFill/>
        <a:ln>
          <a:noFill/>
        </a:ln>
        <a:effectLst/>
      </c:spPr>
    </c:title>
    <c:autoTitleDeleted val="0"/>
    <c:plotArea>
      <c:layout/>
      <c:barChart>
        <c:barDir val="col"/>
        <c:grouping val="stacked"/>
        <c:varyColors val="0"/>
        <c:ser>
          <c:idx val="1"/>
          <c:order val="1"/>
          <c:tx>
            <c:strRef>
              <c:f>Globales!$D$5</c:f>
              <c:strCache>
                <c:ptCount val="1"/>
                <c:pt idx="0">
                  <c:v>Ministro</c:v>
                </c:pt>
              </c:strCache>
            </c:strRef>
          </c:tx>
          <c:spPr>
            <a:solidFill>
              <a:schemeClr val="accent2"/>
            </a:solidFill>
            <a:ln>
              <a:noFill/>
            </a:ln>
            <a:effectLst/>
          </c:spPr>
          <c:invertIfNegative val="0"/>
          <c:cat>
            <c:numRef>
              <c:f>Globales!$C$6:$C$9</c:f>
              <c:numCache>
                <c:formatCode>@</c:formatCode>
                <c:ptCount val="4"/>
                <c:pt idx="0">
                  <c:v>14803</c:v>
                </c:pt>
                <c:pt idx="1">
                  <c:v>14832</c:v>
                </c:pt>
                <c:pt idx="2">
                  <c:v>14853</c:v>
                </c:pt>
                <c:pt idx="3">
                  <c:v>14989</c:v>
                </c:pt>
              </c:numCache>
            </c:numRef>
          </c:cat>
          <c:val>
            <c:numRef>
              <c:f>Globales!$D$6:$D$9</c:f>
              <c:numCache>
                <c:formatCode>General</c:formatCode>
                <c:ptCount val="4"/>
                <c:pt idx="0">
                  <c:v>18</c:v>
                </c:pt>
                <c:pt idx="1">
                  <c:v>19</c:v>
                </c:pt>
                <c:pt idx="2">
                  <c:v>19</c:v>
                </c:pt>
                <c:pt idx="3">
                  <c:v>19</c:v>
                </c:pt>
              </c:numCache>
            </c:numRef>
          </c:val>
        </c:ser>
        <c:ser>
          <c:idx val="2"/>
          <c:order val="2"/>
          <c:tx>
            <c:strRef>
              <c:f>Globales!$E$5</c:f>
              <c:strCache>
                <c:ptCount val="1"/>
                <c:pt idx="0">
                  <c:v>Subsecretario </c:v>
                </c:pt>
              </c:strCache>
            </c:strRef>
          </c:tx>
          <c:spPr>
            <a:solidFill>
              <a:schemeClr val="accent3"/>
            </a:solidFill>
            <a:ln>
              <a:noFill/>
            </a:ln>
            <a:effectLst/>
          </c:spPr>
          <c:invertIfNegative val="0"/>
          <c:cat>
            <c:numRef>
              <c:f>Globales!$C$6:$C$9</c:f>
              <c:numCache>
                <c:formatCode>@</c:formatCode>
                <c:ptCount val="4"/>
                <c:pt idx="0">
                  <c:v>14803</c:v>
                </c:pt>
                <c:pt idx="1">
                  <c:v>14832</c:v>
                </c:pt>
                <c:pt idx="2">
                  <c:v>14853</c:v>
                </c:pt>
                <c:pt idx="3">
                  <c:v>14989</c:v>
                </c:pt>
              </c:numCache>
            </c:numRef>
          </c:cat>
          <c:val>
            <c:numRef>
              <c:f>Globales!$E$6:$E$9</c:f>
              <c:numCache>
                <c:formatCode>General</c:formatCode>
                <c:ptCount val="4"/>
                <c:pt idx="0">
                  <c:v>66</c:v>
                </c:pt>
                <c:pt idx="1">
                  <c:v>73</c:v>
                </c:pt>
                <c:pt idx="2">
                  <c:v>76</c:v>
                </c:pt>
                <c:pt idx="3">
                  <c:v>65</c:v>
                </c:pt>
              </c:numCache>
            </c:numRef>
          </c:val>
        </c:ser>
        <c:ser>
          <c:idx val="3"/>
          <c:order val="3"/>
          <c:tx>
            <c:strRef>
              <c:f>Globales!$F$5</c:f>
              <c:strCache>
                <c:ptCount val="1"/>
                <c:pt idx="0">
                  <c:v>Dir. Pcial</c:v>
                </c:pt>
              </c:strCache>
            </c:strRef>
          </c:tx>
          <c:spPr>
            <a:solidFill>
              <a:schemeClr val="accent4"/>
            </a:solidFill>
            <a:ln>
              <a:noFill/>
            </a:ln>
            <a:effectLst/>
          </c:spPr>
          <c:invertIfNegative val="0"/>
          <c:cat>
            <c:numRef>
              <c:f>Globales!$C$6:$C$9</c:f>
              <c:numCache>
                <c:formatCode>@</c:formatCode>
                <c:ptCount val="4"/>
                <c:pt idx="0">
                  <c:v>14803</c:v>
                </c:pt>
                <c:pt idx="1">
                  <c:v>14832</c:v>
                </c:pt>
                <c:pt idx="2">
                  <c:v>14853</c:v>
                </c:pt>
                <c:pt idx="3">
                  <c:v>14989</c:v>
                </c:pt>
              </c:numCache>
            </c:numRef>
          </c:cat>
          <c:val>
            <c:numRef>
              <c:f>Globales!$F$6:$F$9</c:f>
              <c:numCache>
                <c:formatCode>General</c:formatCode>
                <c:ptCount val="4"/>
                <c:pt idx="0">
                  <c:v>238</c:v>
                </c:pt>
                <c:pt idx="1">
                  <c:v>243</c:v>
                </c:pt>
                <c:pt idx="2">
                  <c:v>258</c:v>
                </c:pt>
                <c:pt idx="3">
                  <c:v>213</c:v>
                </c:pt>
              </c:numCache>
            </c:numRef>
          </c:val>
        </c:ser>
        <c:ser>
          <c:idx val="4"/>
          <c:order val="4"/>
          <c:tx>
            <c:strRef>
              <c:f>Globales!$G$5</c:f>
              <c:strCache>
                <c:ptCount val="1"/>
                <c:pt idx="0">
                  <c:v>Director</c:v>
                </c:pt>
              </c:strCache>
            </c:strRef>
          </c:tx>
          <c:spPr>
            <a:solidFill>
              <a:schemeClr val="accent5"/>
            </a:solidFill>
            <a:ln>
              <a:noFill/>
            </a:ln>
            <a:effectLst/>
          </c:spPr>
          <c:invertIfNegative val="0"/>
          <c:cat>
            <c:numRef>
              <c:f>Globales!$C$6:$C$9</c:f>
              <c:numCache>
                <c:formatCode>@</c:formatCode>
                <c:ptCount val="4"/>
                <c:pt idx="0">
                  <c:v>14803</c:v>
                </c:pt>
                <c:pt idx="1">
                  <c:v>14832</c:v>
                </c:pt>
                <c:pt idx="2">
                  <c:v>14853</c:v>
                </c:pt>
                <c:pt idx="3">
                  <c:v>14989</c:v>
                </c:pt>
              </c:numCache>
            </c:numRef>
          </c:cat>
          <c:val>
            <c:numRef>
              <c:f>Globales!$G$6:$G$9</c:f>
              <c:numCache>
                <c:formatCode>General</c:formatCode>
                <c:ptCount val="4"/>
                <c:pt idx="0">
                  <c:v>635</c:v>
                </c:pt>
                <c:pt idx="1">
                  <c:v>652</c:v>
                </c:pt>
                <c:pt idx="2">
                  <c:v>709</c:v>
                </c:pt>
                <c:pt idx="3">
                  <c:v>614</c:v>
                </c:pt>
              </c:numCache>
            </c:numRef>
          </c:val>
        </c:ser>
        <c:dLbls>
          <c:showLegendKey val="0"/>
          <c:showVal val="0"/>
          <c:showCatName val="0"/>
          <c:showSerName val="0"/>
          <c:showPercent val="0"/>
          <c:showBubbleSize val="0"/>
        </c:dLbls>
        <c:gapWidth val="150"/>
        <c:overlap val="100"/>
        <c:axId val="459852712"/>
        <c:axId val="459853104"/>
        <c:extLst>
          <c:ext xmlns:c15="http://schemas.microsoft.com/office/drawing/2012/chart" uri="{02D57815-91ED-43cb-92C2-25804820EDAC}">
            <c15:filteredBarSeries>
              <c15:ser>
                <c:idx val="0"/>
                <c:order val="0"/>
                <c:tx>
                  <c:strRef>
                    <c:extLst>
                      <c:ext uri="{02D57815-91ED-43cb-92C2-25804820EDAC}">
                        <c15:formulaRef>
                          <c15:sqref>Globales!$C$5</c15:sqref>
                        </c15:formulaRef>
                      </c:ext>
                    </c:extLst>
                    <c:strCache>
                      <c:ptCount val="1"/>
                      <c:pt idx="0">
                        <c:v>Leyes</c:v>
                      </c:pt>
                    </c:strCache>
                  </c:strRef>
                </c:tx>
                <c:spPr>
                  <a:solidFill>
                    <a:schemeClr val="accent1"/>
                  </a:solidFill>
                  <a:ln>
                    <a:noFill/>
                  </a:ln>
                  <a:effectLst/>
                </c:spPr>
                <c:invertIfNegative val="0"/>
                <c:cat>
                  <c:strRef>
                    <c:extLst>
                      <c:ext uri="{02D57815-91ED-43cb-92C2-25804820EDAC}">
                        <c15:formulaRef>
                          <c15:sqref>Globales!$D$5:$G$5</c15:sqref>
                        </c15:formulaRef>
                      </c:ext>
                    </c:extLst>
                    <c:strCache>
                      <c:ptCount val="4"/>
                      <c:pt idx="0">
                        <c:v>Ministro</c:v>
                      </c:pt>
                      <c:pt idx="1">
                        <c:v>Subsecretario </c:v>
                      </c:pt>
                      <c:pt idx="2">
                        <c:v>Dir. Pcial</c:v>
                      </c:pt>
                      <c:pt idx="3">
                        <c:v>Director</c:v>
                      </c:pt>
                    </c:strCache>
                  </c:strRef>
                </c:cat>
                <c:val>
                  <c:numRef>
                    <c:extLst>
                      <c:ext uri="{02D57815-91ED-43cb-92C2-25804820EDAC}">
                        <c15:formulaRef>
                          <c15:sqref>Globales!$C$6:$C$9</c15:sqref>
                        </c15:formulaRef>
                      </c:ext>
                    </c:extLst>
                    <c:numCache>
                      <c:formatCode>@</c:formatCode>
                      <c:ptCount val="4"/>
                      <c:pt idx="0">
                        <c:v>14803</c:v>
                      </c:pt>
                      <c:pt idx="1">
                        <c:v>14832</c:v>
                      </c:pt>
                      <c:pt idx="2">
                        <c:v>14853</c:v>
                      </c:pt>
                      <c:pt idx="3">
                        <c:v>14989</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Globales!$H$5</c15:sqref>
                        </c15:formulaRef>
                      </c:ext>
                    </c:extLst>
                    <c:strCache>
                      <c:ptCount val="1"/>
                      <c:pt idx="0">
                        <c:v>Total</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Globales!$D$5:$G$5</c15:sqref>
                        </c15:formulaRef>
                      </c:ext>
                    </c:extLst>
                    <c:strCache>
                      <c:ptCount val="4"/>
                      <c:pt idx="0">
                        <c:v>Ministro</c:v>
                      </c:pt>
                      <c:pt idx="1">
                        <c:v>Subsecretario </c:v>
                      </c:pt>
                      <c:pt idx="2">
                        <c:v>Dir. Pcial</c:v>
                      </c:pt>
                      <c:pt idx="3">
                        <c:v>Director</c:v>
                      </c:pt>
                    </c:strCache>
                  </c:strRef>
                </c:cat>
                <c:val>
                  <c:numRef>
                    <c:extLst xmlns:c15="http://schemas.microsoft.com/office/drawing/2012/chart">
                      <c:ext xmlns:c15="http://schemas.microsoft.com/office/drawing/2012/chart" uri="{02D57815-91ED-43cb-92C2-25804820EDAC}">
                        <c15:formulaRef>
                          <c15:sqref>Globales!$H$6:$H$9</c15:sqref>
                        </c15:formulaRef>
                      </c:ext>
                    </c:extLst>
                    <c:numCache>
                      <c:formatCode>General</c:formatCode>
                      <c:ptCount val="4"/>
                      <c:pt idx="0">
                        <c:v>957</c:v>
                      </c:pt>
                      <c:pt idx="1">
                        <c:v>987</c:v>
                      </c:pt>
                      <c:pt idx="2">
                        <c:v>990</c:v>
                      </c:pt>
                      <c:pt idx="3">
                        <c:v>911</c:v>
                      </c:pt>
                    </c:numCache>
                  </c:numRef>
                </c:val>
              </c15:ser>
            </c15:filteredBarSeries>
          </c:ext>
        </c:extLst>
      </c:barChart>
      <c:catAx>
        <c:axId val="459852712"/>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59853104"/>
        <c:crosses val="autoZero"/>
        <c:auto val="1"/>
        <c:lblAlgn val="ctr"/>
        <c:lblOffset val="100"/>
        <c:noMultiLvlLbl val="0"/>
      </c:catAx>
      <c:valAx>
        <c:axId val="45985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59852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C106-B13B-47B4-9236-D98747B5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1062</Words>
  <Characters>5844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Esturao</dc:creator>
  <cp:lastModifiedBy>Mariano Talanchuk</cp:lastModifiedBy>
  <cp:revision>3</cp:revision>
  <dcterms:created xsi:type="dcterms:W3CDTF">2018-12-12T14:41:00Z</dcterms:created>
  <dcterms:modified xsi:type="dcterms:W3CDTF">2018-12-13T15:03:00Z</dcterms:modified>
</cp:coreProperties>
</file>